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142CF" w14:textId="47D85806" w:rsidR="001A0343" w:rsidRPr="003270FE" w:rsidRDefault="001A0343" w:rsidP="00213BAD">
      <w:pPr>
        <w:spacing w:after="0" w:line="240" w:lineRule="auto"/>
        <w:rPr>
          <w:rFonts w:ascii="Times New Roman" w:hAnsi="Times New Roman"/>
          <w:b/>
          <w:sz w:val="24"/>
          <w:szCs w:val="24"/>
        </w:rPr>
      </w:pPr>
      <w:r w:rsidRPr="003270FE">
        <w:rPr>
          <w:rFonts w:ascii="Times New Roman" w:hAnsi="Times New Roman"/>
          <w:b/>
          <w:sz w:val="24"/>
          <w:szCs w:val="24"/>
        </w:rPr>
        <w:t>I</w:t>
      </w:r>
      <w:r w:rsidR="007B070E">
        <w:rPr>
          <w:rFonts w:ascii="Times New Roman" w:hAnsi="Times New Roman"/>
          <w:b/>
          <w:sz w:val="24"/>
          <w:szCs w:val="24"/>
        </w:rPr>
        <w:t>II.</w:t>
      </w:r>
      <w:r w:rsidR="005B0132">
        <w:rPr>
          <w:rFonts w:ascii="Times New Roman" w:hAnsi="Times New Roman"/>
          <w:b/>
          <w:sz w:val="24"/>
          <w:szCs w:val="24"/>
        </w:rPr>
        <w:t>6</w:t>
      </w:r>
      <w:r w:rsidR="004A2459">
        <w:rPr>
          <w:rFonts w:ascii="Times New Roman" w:hAnsi="Times New Roman"/>
          <w:b/>
          <w:sz w:val="24"/>
          <w:szCs w:val="24"/>
        </w:rPr>
        <w:t>.1</w:t>
      </w:r>
      <w:r w:rsidR="000B7D03">
        <w:rPr>
          <w:rFonts w:ascii="Times New Roman" w:hAnsi="Times New Roman"/>
          <w:b/>
          <w:sz w:val="24"/>
          <w:szCs w:val="24"/>
        </w:rPr>
        <w:t>.</w:t>
      </w:r>
      <w:r w:rsidR="00A35773">
        <w:rPr>
          <w:rFonts w:ascii="Times New Roman" w:hAnsi="Times New Roman"/>
          <w:b/>
          <w:sz w:val="24"/>
          <w:szCs w:val="24"/>
        </w:rPr>
        <w:t>1</w:t>
      </w:r>
      <w:r w:rsidR="007B070E">
        <w:rPr>
          <w:rFonts w:ascii="Times New Roman" w:hAnsi="Times New Roman"/>
          <w:b/>
          <w:sz w:val="24"/>
          <w:szCs w:val="24"/>
        </w:rPr>
        <w:t>A - E</w:t>
      </w:r>
      <w:r w:rsidRPr="00020BC4">
        <w:rPr>
          <w:rFonts w:ascii="Times New Roman" w:hAnsi="Times New Roman"/>
          <w:b/>
          <w:sz w:val="24"/>
          <w:szCs w:val="24"/>
        </w:rPr>
        <w:t>voluzione dei mercati delle telecomunicazioni tra realtà e prospettive</w:t>
      </w:r>
    </w:p>
    <w:p w14:paraId="288CD538" w14:textId="77777777" w:rsidR="001A0343" w:rsidRDefault="001A0343" w:rsidP="00213BAD">
      <w:pPr>
        <w:widowControl w:val="0"/>
        <w:tabs>
          <w:tab w:val="left" w:pos="2582"/>
        </w:tabs>
        <w:spacing w:after="0" w:line="240" w:lineRule="auto"/>
        <w:ind w:right="261" w:firstLine="708"/>
        <w:outlineLvl w:val="4"/>
        <w:rPr>
          <w:rFonts w:ascii="Verdana" w:eastAsia="Verdana" w:hAnsi="Verdana" w:cs="Times New Roman"/>
          <w:sz w:val="24"/>
          <w:szCs w:val="24"/>
        </w:rPr>
      </w:pPr>
    </w:p>
    <w:p w14:paraId="288D66C2" w14:textId="7DF11BE9" w:rsidR="002F5D0B" w:rsidRPr="000E6E53" w:rsidRDefault="002F5D0B" w:rsidP="00662A01">
      <w:pPr>
        <w:pStyle w:val="Default"/>
        <w:spacing w:line="201" w:lineRule="atLeast"/>
        <w:ind w:firstLine="700"/>
        <w:jc w:val="both"/>
        <w:rPr>
          <w:rFonts w:ascii="Times New Roman" w:hAnsi="Times New Roman" w:cs="Times New Roman"/>
        </w:rPr>
      </w:pPr>
      <w:r w:rsidRPr="000E6E53">
        <w:rPr>
          <w:rStyle w:val="A2"/>
          <w:rFonts w:ascii="Times New Roman" w:hAnsi="Times New Roman" w:cs="Times New Roman"/>
          <w:color w:val="auto"/>
        </w:rPr>
        <w:t>Accanto ai tradizionali obiettivi regola</w:t>
      </w:r>
      <w:r w:rsidRPr="000E6E53">
        <w:rPr>
          <w:rStyle w:val="A2"/>
          <w:rFonts w:ascii="Times New Roman" w:hAnsi="Times New Roman" w:cs="Times New Roman"/>
          <w:color w:val="auto"/>
        </w:rPr>
        <w:softHyphen/>
        <w:t>mentari della promozione della concorrenza, del mercato interno e della tutela degli utenti, il nuovo codice delle comunicazioni elettroniche ha attribuito all</w:t>
      </w:r>
      <w:r w:rsidR="00C12941" w:rsidRPr="000E6E53">
        <w:rPr>
          <w:rStyle w:val="A2"/>
          <w:rFonts w:ascii="Times New Roman" w:hAnsi="Times New Roman" w:cs="Times New Roman"/>
          <w:color w:val="auto"/>
        </w:rPr>
        <w:t>’</w:t>
      </w:r>
      <w:r w:rsidR="00EE6B1C" w:rsidRPr="000E6E53">
        <w:rPr>
          <w:rStyle w:val="A2"/>
          <w:rFonts w:ascii="Times New Roman" w:hAnsi="Times New Roman" w:cs="Times New Roman"/>
          <w:color w:val="auto"/>
        </w:rPr>
        <w:t>AGCOM</w:t>
      </w:r>
      <w:r w:rsidR="00E521F3" w:rsidRPr="000E6E53">
        <w:rPr>
          <w:rStyle w:val="A2"/>
          <w:rFonts w:ascii="Times New Roman" w:hAnsi="Times New Roman" w:cs="Times New Roman"/>
          <w:color w:val="auto"/>
        </w:rPr>
        <w:t xml:space="preserve"> (</w:t>
      </w:r>
      <w:r w:rsidR="00E521F3" w:rsidRPr="000E6E53">
        <w:rPr>
          <w:rFonts w:ascii="Times New Roman" w:hAnsi="Times New Roman" w:cs="Times New Roman"/>
          <w:bCs/>
        </w:rPr>
        <w:t xml:space="preserve">Autorità per le Garanzie nelle Comunicazioni) </w:t>
      </w:r>
      <w:r w:rsidRPr="000E6E53">
        <w:rPr>
          <w:rStyle w:val="A2"/>
          <w:rFonts w:ascii="Times New Roman" w:hAnsi="Times New Roman" w:cs="Times New Roman"/>
          <w:color w:val="auto"/>
        </w:rPr>
        <w:t xml:space="preserve">quello di </w:t>
      </w:r>
      <w:r w:rsidRPr="000E6E53">
        <w:rPr>
          <w:rStyle w:val="A2"/>
          <w:rFonts w:ascii="Times New Roman" w:hAnsi="Times New Roman" w:cs="Times New Roman"/>
          <w:b/>
          <w:bCs/>
          <w:color w:val="auto"/>
        </w:rPr>
        <w:t>promuovere gli investimenti in connettività sulla banda ultra-larga</w:t>
      </w:r>
      <w:r w:rsidRPr="000E6E53">
        <w:rPr>
          <w:rStyle w:val="A2"/>
          <w:rFonts w:ascii="Times New Roman" w:hAnsi="Times New Roman" w:cs="Times New Roman"/>
          <w:color w:val="auto"/>
        </w:rPr>
        <w:t>. Tale attività è fondamentale per accom</w:t>
      </w:r>
      <w:r w:rsidRPr="000E6E53">
        <w:rPr>
          <w:rStyle w:val="A2"/>
          <w:rFonts w:ascii="Times New Roman" w:hAnsi="Times New Roman" w:cs="Times New Roman"/>
          <w:color w:val="auto"/>
        </w:rPr>
        <w:softHyphen/>
        <w:t>pagnare l’Italia nella trasformazione digitale e ri</w:t>
      </w:r>
      <w:r w:rsidRPr="000E6E53">
        <w:rPr>
          <w:rStyle w:val="A2"/>
          <w:rFonts w:ascii="Times New Roman" w:hAnsi="Times New Roman" w:cs="Times New Roman"/>
          <w:color w:val="auto"/>
        </w:rPr>
        <w:softHyphen/>
        <w:t xml:space="preserve">chiede una stretta sinergia con le varie istituzioni nazionali ed europee. </w:t>
      </w:r>
    </w:p>
    <w:p w14:paraId="70EA7E43" w14:textId="3B603130" w:rsidR="002F5D0B" w:rsidRPr="000E6E53" w:rsidRDefault="002F5D0B" w:rsidP="00EE6B1C">
      <w:pPr>
        <w:pStyle w:val="Pa4"/>
        <w:ind w:firstLine="700"/>
        <w:jc w:val="both"/>
        <w:rPr>
          <w:rFonts w:ascii="Times New Roman" w:hAnsi="Times New Roman" w:cs="Times New Roman"/>
        </w:rPr>
      </w:pPr>
      <w:r w:rsidRPr="000E6E53">
        <w:rPr>
          <w:rStyle w:val="A2"/>
          <w:rFonts w:ascii="Times New Roman" w:hAnsi="Times New Roman" w:cs="Times New Roman"/>
        </w:rPr>
        <w:t>Nelle comunicazioni elettroniche, come evidenziano dettagliatamente gli Osservatori tri</w:t>
      </w:r>
      <w:r w:rsidRPr="000E6E53">
        <w:rPr>
          <w:rStyle w:val="A2"/>
          <w:rFonts w:ascii="Times New Roman" w:hAnsi="Times New Roman" w:cs="Times New Roman"/>
        </w:rPr>
        <w:softHyphen/>
        <w:t>mestrali dell’</w:t>
      </w:r>
      <w:r w:rsidR="00662A01" w:rsidRPr="000E6E53">
        <w:rPr>
          <w:rStyle w:val="A2"/>
          <w:rFonts w:ascii="Times New Roman" w:hAnsi="Times New Roman" w:cs="Times New Roman"/>
        </w:rPr>
        <w:t>AGCOM</w:t>
      </w:r>
      <w:r w:rsidRPr="000E6E53">
        <w:rPr>
          <w:rStyle w:val="A2"/>
          <w:rFonts w:ascii="Times New Roman" w:hAnsi="Times New Roman" w:cs="Times New Roman"/>
        </w:rPr>
        <w:t xml:space="preserve">, </w:t>
      </w:r>
      <w:r w:rsidR="00833607" w:rsidRPr="000E6E53">
        <w:rPr>
          <w:rStyle w:val="A2"/>
          <w:rFonts w:ascii="Times New Roman" w:hAnsi="Times New Roman" w:cs="Times New Roman"/>
        </w:rPr>
        <w:t xml:space="preserve">nel 2022 </w:t>
      </w:r>
      <w:r w:rsidRPr="000E6E53">
        <w:rPr>
          <w:rStyle w:val="A2"/>
          <w:rFonts w:ascii="Times New Roman" w:hAnsi="Times New Roman" w:cs="Times New Roman"/>
        </w:rPr>
        <w:t>si sono ridotte ulteriormen</w:t>
      </w:r>
      <w:r w:rsidRPr="000E6E53">
        <w:rPr>
          <w:rStyle w:val="A2"/>
          <w:rFonts w:ascii="Times New Roman" w:hAnsi="Times New Roman" w:cs="Times New Roman"/>
        </w:rPr>
        <w:softHyphen/>
        <w:t xml:space="preserve">te le risorse (-3,3% rispetto al 2021), soprattutto per effetto della flessione dei ricavi nel segmento della telefonia mobile. </w:t>
      </w:r>
    </w:p>
    <w:p w14:paraId="6EFABF75" w14:textId="77777777" w:rsidR="002F5D0B" w:rsidRPr="000E6E53" w:rsidRDefault="002F5D0B" w:rsidP="00EE6B1C">
      <w:pPr>
        <w:pStyle w:val="Pa4"/>
        <w:ind w:firstLine="700"/>
        <w:jc w:val="both"/>
        <w:rPr>
          <w:rFonts w:ascii="Times New Roman" w:hAnsi="Times New Roman" w:cs="Times New Roman"/>
        </w:rPr>
      </w:pPr>
      <w:r w:rsidRPr="000E6E53">
        <w:rPr>
          <w:rStyle w:val="A2"/>
          <w:rFonts w:ascii="Times New Roman" w:hAnsi="Times New Roman" w:cs="Times New Roman"/>
        </w:rPr>
        <w:t xml:space="preserve">Si è registrata inoltre una forte pressione concorrenziale, anche per effetto dell’entrata sul mercato di nuovi operatori, in presenza di un grande dinamismo, generato dall’innovazione tecnologica. </w:t>
      </w:r>
    </w:p>
    <w:p w14:paraId="248FD3BB" w14:textId="77777777" w:rsidR="002F5D0B" w:rsidRPr="000E6E53" w:rsidRDefault="002F5D0B" w:rsidP="00EE6B1C">
      <w:pPr>
        <w:pStyle w:val="Pa4"/>
        <w:ind w:firstLine="700"/>
        <w:jc w:val="both"/>
        <w:rPr>
          <w:rFonts w:ascii="Times New Roman" w:hAnsi="Times New Roman" w:cs="Times New Roman"/>
        </w:rPr>
      </w:pPr>
      <w:r w:rsidRPr="000E6E53">
        <w:rPr>
          <w:rStyle w:val="A2"/>
          <w:rFonts w:ascii="Times New Roman" w:hAnsi="Times New Roman" w:cs="Times New Roman"/>
        </w:rPr>
        <w:t>Il valore complessivo del settore si attesta oggi intorno ai 27 miliardi di euro, evidenziando</w:t>
      </w:r>
      <w:r w:rsidRPr="000E6E53">
        <w:rPr>
          <w:rStyle w:val="A2"/>
          <w:rFonts w:ascii="Times New Roman" w:hAnsi="Times New Roman" w:cs="Times New Roman"/>
        </w:rPr>
        <w:softHyphen/>
        <w:t xml:space="preserve">si tuttavia per il 2022 una flessione del rapporto tra margine lordo e ricavi. </w:t>
      </w:r>
    </w:p>
    <w:p w14:paraId="3CBA79E3" w14:textId="77777777" w:rsidR="002F5D0B" w:rsidRPr="000E6E53" w:rsidRDefault="002F5D0B" w:rsidP="00662A01">
      <w:pPr>
        <w:pStyle w:val="Pa4"/>
        <w:ind w:firstLine="700"/>
        <w:jc w:val="both"/>
        <w:rPr>
          <w:rFonts w:ascii="Times New Roman" w:hAnsi="Times New Roman" w:cs="Times New Roman"/>
        </w:rPr>
      </w:pPr>
      <w:r w:rsidRPr="000E6E53">
        <w:rPr>
          <w:rStyle w:val="A2"/>
          <w:rFonts w:ascii="Times New Roman" w:hAnsi="Times New Roman" w:cs="Times New Roman"/>
        </w:rPr>
        <w:t>La riduzione delle risorse disponibili ha avuto effetti negativi anche sull’andamento degli investimenti: in rapporto ai ricavi, nel 2022, gli investimenti restano superiori al 25% ma si ridu</w:t>
      </w:r>
      <w:r w:rsidRPr="000E6E53">
        <w:rPr>
          <w:rStyle w:val="A2"/>
          <w:rFonts w:ascii="Times New Roman" w:hAnsi="Times New Roman" w:cs="Times New Roman"/>
        </w:rPr>
        <w:softHyphen/>
        <w:t xml:space="preserve">cono in misura non marginale in termini assoluti (-7,3%, passando da 7,49 a 6,95 miliardi di euro). </w:t>
      </w:r>
    </w:p>
    <w:p w14:paraId="0E336725" w14:textId="3E7E8D0A" w:rsidR="002F5D0B" w:rsidRPr="000E6E53" w:rsidRDefault="002F5D0B" w:rsidP="00662A01">
      <w:pPr>
        <w:pStyle w:val="Pa4"/>
        <w:ind w:firstLine="700"/>
        <w:jc w:val="both"/>
        <w:rPr>
          <w:rFonts w:ascii="Times New Roman" w:hAnsi="Times New Roman" w:cs="Times New Roman"/>
        </w:rPr>
      </w:pPr>
      <w:r w:rsidRPr="000E6E53">
        <w:rPr>
          <w:rStyle w:val="A2"/>
          <w:rFonts w:ascii="Times New Roman" w:hAnsi="Times New Roman" w:cs="Times New Roman"/>
        </w:rPr>
        <w:t>Il mercato è stato caratterizzato da proces</w:t>
      </w:r>
      <w:r w:rsidRPr="000E6E53">
        <w:rPr>
          <w:rStyle w:val="A2"/>
          <w:rFonts w:ascii="Times New Roman" w:hAnsi="Times New Roman" w:cs="Times New Roman"/>
        </w:rPr>
        <w:softHyphen/>
        <w:t>si di riconfigurazione dei player presenti sul mer</w:t>
      </w:r>
      <w:r w:rsidRPr="000E6E53">
        <w:rPr>
          <w:rStyle w:val="A2"/>
          <w:rFonts w:ascii="Times New Roman" w:hAnsi="Times New Roman" w:cs="Times New Roman"/>
        </w:rPr>
        <w:softHyphen/>
        <w:t>cato (fusione delle attività retail di Linkem con Tiscali dal 1° agosto 2022), dall’entrata di nuo</w:t>
      </w:r>
      <w:r w:rsidRPr="000E6E53">
        <w:rPr>
          <w:rStyle w:val="A2"/>
          <w:rFonts w:ascii="Times New Roman" w:hAnsi="Times New Roman" w:cs="Times New Roman"/>
        </w:rPr>
        <w:softHyphen/>
        <w:t>vi operatori in segmenti di mercato precedente</w:t>
      </w:r>
      <w:r w:rsidRPr="000E6E53">
        <w:rPr>
          <w:rStyle w:val="A2"/>
          <w:rFonts w:ascii="Times New Roman" w:hAnsi="Times New Roman" w:cs="Times New Roman"/>
        </w:rPr>
        <w:softHyphen/>
        <w:t>mente non presidiati (Iliad e PostePay nella rete fissa), nonché dal consolidamento della presenza di soggetti provenienti da altri settori (</w:t>
      </w:r>
      <w:proofErr w:type="spellStart"/>
      <w:r w:rsidRPr="000E6E53">
        <w:rPr>
          <w:rStyle w:val="A2"/>
          <w:rFonts w:ascii="Times New Roman" w:hAnsi="Times New Roman" w:cs="Times New Roman"/>
        </w:rPr>
        <w:t>Sky</w:t>
      </w:r>
      <w:proofErr w:type="spellEnd"/>
      <w:r w:rsidRPr="000E6E53">
        <w:rPr>
          <w:rStyle w:val="A2"/>
          <w:rFonts w:ascii="Times New Roman" w:hAnsi="Times New Roman" w:cs="Times New Roman"/>
        </w:rPr>
        <w:t xml:space="preserve">). </w:t>
      </w:r>
    </w:p>
    <w:p w14:paraId="6508AA97" w14:textId="228CB917" w:rsidR="002F5D0B" w:rsidRPr="000E6E53" w:rsidRDefault="002F5D0B" w:rsidP="00662A01">
      <w:pPr>
        <w:pStyle w:val="Pa4"/>
        <w:ind w:firstLine="700"/>
        <w:jc w:val="both"/>
        <w:rPr>
          <w:rFonts w:ascii="Times New Roman" w:hAnsi="Times New Roman" w:cs="Times New Roman"/>
        </w:rPr>
      </w:pPr>
      <w:r w:rsidRPr="000E6E53">
        <w:rPr>
          <w:rStyle w:val="A2"/>
          <w:rFonts w:ascii="Times New Roman" w:hAnsi="Times New Roman" w:cs="Times New Roman"/>
        </w:rPr>
        <w:t>La grande trasformazione che riguarda la rete fissa si deve alle nuove modalità di comuni</w:t>
      </w:r>
      <w:r w:rsidRPr="000E6E53">
        <w:rPr>
          <w:rStyle w:val="A2"/>
          <w:rFonts w:ascii="Times New Roman" w:hAnsi="Times New Roman" w:cs="Times New Roman"/>
        </w:rPr>
        <w:softHyphen/>
        <w:t>cazione, di organizzazione del lavoro e di con</w:t>
      </w:r>
      <w:r w:rsidRPr="000E6E53">
        <w:rPr>
          <w:rStyle w:val="A2"/>
          <w:rFonts w:ascii="Times New Roman" w:hAnsi="Times New Roman" w:cs="Times New Roman"/>
        </w:rPr>
        <w:softHyphen/>
        <w:t>sumo di media (in particolare allo streaming di contenuti video), che, almeno dalla fase pande</w:t>
      </w:r>
      <w:r w:rsidRPr="000E6E53">
        <w:rPr>
          <w:rStyle w:val="A2"/>
          <w:rFonts w:ascii="Times New Roman" w:hAnsi="Times New Roman" w:cs="Times New Roman"/>
        </w:rPr>
        <w:softHyphen/>
        <w:t xml:space="preserve">mica in poi, caratterizza l’esperienza di tutti noi. </w:t>
      </w:r>
    </w:p>
    <w:p w14:paraId="18854CE2" w14:textId="77777777" w:rsidR="002F5D0B" w:rsidRPr="000E6E53" w:rsidRDefault="002F5D0B" w:rsidP="00662A01">
      <w:pPr>
        <w:pStyle w:val="Pa4"/>
        <w:ind w:firstLine="700"/>
        <w:jc w:val="both"/>
        <w:rPr>
          <w:rFonts w:ascii="Times New Roman" w:hAnsi="Times New Roman" w:cs="Times New Roman"/>
        </w:rPr>
      </w:pPr>
      <w:r w:rsidRPr="000E6E53">
        <w:rPr>
          <w:rStyle w:val="A2"/>
          <w:rFonts w:ascii="Times New Roman" w:hAnsi="Times New Roman" w:cs="Times New Roman"/>
        </w:rPr>
        <w:t>Negli ultimi 5 anni le linee in tecnologia FTTC-FTTH (</w:t>
      </w:r>
      <w:proofErr w:type="spellStart"/>
      <w:r w:rsidRPr="000E6E53">
        <w:rPr>
          <w:rStyle w:val="A2"/>
          <w:rFonts w:ascii="Times New Roman" w:hAnsi="Times New Roman" w:cs="Times New Roman"/>
        </w:rPr>
        <w:t>Fiber</w:t>
      </w:r>
      <w:proofErr w:type="spellEnd"/>
      <w:r w:rsidRPr="000E6E53">
        <w:rPr>
          <w:rStyle w:val="A2"/>
          <w:rFonts w:ascii="Times New Roman" w:hAnsi="Times New Roman" w:cs="Times New Roman"/>
        </w:rPr>
        <w:t xml:space="preserve"> to the Cabinet - </w:t>
      </w:r>
      <w:proofErr w:type="spellStart"/>
      <w:r w:rsidRPr="000E6E53">
        <w:rPr>
          <w:rStyle w:val="A2"/>
          <w:rFonts w:ascii="Times New Roman" w:hAnsi="Times New Roman" w:cs="Times New Roman"/>
        </w:rPr>
        <w:t>Fiber</w:t>
      </w:r>
      <w:proofErr w:type="spellEnd"/>
      <w:r w:rsidRPr="000E6E53">
        <w:rPr>
          <w:rStyle w:val="A2"/>
          <w:rFonts w:ascii="Times New Roman" w:hAnsi="Times New Roman" w:cs="Times New Roman"/>
        </w:rPr>
        <w:t xml:space="preserve"> to the Home) sono passate dal 36% a quasi il 70% de</w:t>
      </w:r>
      <w:r w:rsidRPr="000E6E53">
        <w:rPr>
          <w:rStyle w:val="A2"/>
          <w:rFonts w:ascii="Times New Roman" w:hAnsi="Times New Roman" w:cs="Times New Roman"/>
        </w:rPr>
        <w:softHyphen/>
        <w:t>gli accessi complessivi, anche se, come in pas</w:t>
      </w:r>
      <w:r w:rsidRPr="000E6E53">
        <w:rPr>
          <w:rStyle w:val="A2"/>
          <w:rFonts w:ascii="Times New Roman" w:hAnsi="Times New Roman" w:cs="Times New Roman"/>
        </w:rPr>
        <w:softHyphen/>
        <w:t xml:space="preserve">sato, permangono non marginali differenze tra il Nord e il Centro, da una parte, e il Sud e le Isole dall’altra. </w:t>
      </w:r>
    </w:p>
    <w:p w14:paraId="4CE32E67" w14:textId="6F308040" w:rsidR="002F5D0B" w:rsidRPr="000E6E53" w:rsidRDefault="002F5D0B" w:rsidP="00662A01">
      <w:pPr>
        <w:pStyle w:val="Pa4"/>
        <w:ind w:firstLine="700"/>
        <w:jc w:val="both"/>
        <w:rPr>
          <w:rFonts w:ascii="Times New Roman" w:hAnsi="Times New Roman" w:cs="Times New Roman"/>
        </w:rPr>
      </w:pPr>
      <w:r w:rsidRPr="000E6E53">
        <w:rPr>
          <w:rStyle w:val="A2"/>
          <w:rFonts w:ascii="Times New Roman" w:hAnsi="Times New Roman" w:cs="Times New Roman"/>
        </w:rPr>
        <w:t>Il traffico dati ha registrato un incremen</w:t>
      </w:r>
      <w:r w:rsidRPr="000E6E53">
        <w:rPr>
          <w:rStyle w:val="A2"/>
          <w:rFonts w:ascii="Times New Roman" w:hAnsi="Times New Roman" w:cs="Times New Roman"/>
        </w:rPr>
        <w:softHyphen/>
        <w:t xml:space="preserve">to assai rilevante. </w:t>
      </w:r>
    </w:p>
    <w:p w14:paraId="69DCEA40" w14:textId="1BFAD253" w:rsidR="00662A01" w:rsidRPr="000E6E53" w:rsidRDefault="002F5D0B" w:rsidP="00662A01">
      <w:pPr>
        <w:pStyle w:val="Default"/>
        <w:ind w:firstLine="700"/>
        <w:jc w:val="both"/>
        <w:rPr>
          <w:rFonts w:ascii="Times New Roman" w:hAnsi="Times New Roman" w:cs="Times New Roman"/>
          <w:color w:val="auto"/>
        </w:rPr>
      </w:pPr>
      <w:r w:rsidRPr="000E6E53">
        <w:rPr>
          <w:rStyle w:val="A2"/>
          <w:rFonts w:ascii="Times New Roman" w:hAnsi="Times New Roman" w:cs="Times New Roman"/>
          <w:color w:val="auto"/>
        </w:rPr>
        <w:t xml:space="preserve">L’azione del regolatore è stata fortemente condizionata dall’incertezza relativa alla </w:t>
      </w:r>
      <w:r w:rsidR="00662A01" w:rsidRPr="000E6E53">
        <w:rPr>
          <w:rStyle w:val="A2"/>
          <w:rFonts w:ascii="Times New Roman" w:hAnsi="Times New Roman" w:cs="Times New Roman"/>
          <w:color w:val="auto"/>
        </w:rPr>
        <w:t>possibile</w:t>
      </w:r>
      <w:r w:rsidR="00662A01" w:rsidRPr="000E6E53">
        <w:rPr>
          <w:rStyle w:val="A2"/>
          <w:rFonts w:ascii="Times New Roman" w:hAnsi="Times New Roman" w:cs="Times New Roman"/>
        </w:rPr>
        <w:t xml:space="preserve"> trasformazione (peraltro ancora in corso) degli </w:t>
      </w:r>
      <w:r w:rsidR="00662A01" w:rsidRPr="000E6E53">
        <w:rPr>
          <w:rStyle w:val="A2"/>
          <w:rFonts w:ascii="Times New Roman" w:hAnsi="Times New Roman" w:cs="Times New Roman"/>
          <w:color w:val="auto"/>
        </w:rPr>
        <w:t>assetti strutturali e proprietari dell’operatore do</w:t>
      </w:r>
      <w:r w:rsidR="00662A01" w:rsidRPr="000E6E53">
        <w:rPr>
          <w:rStyle w:val="A2"/>
          <w:rFonts w:ascii="Times New Roman" w:hAnsi="Times New Roman" w:cs="Times New Roman"/>
          <w:color w:val="auto"/>
        </w:rPr>
        <w:softHyphen/>
        <w:t xml:space="preserve">minante. </w:t>
      </w:r>
    </w:p>
    <w:p w14:paraId="5B137BDB" w14:textId="77777777" w:rsidR="00662A01" w:rsidRPr="000E6E53" w:rsidRDefault="00662A01" w:rsidP="00662A01">
      <w:pPr>
        <w:pStyle w:val="Pa4"/>
        <w:ind w:firstLine="700"/>
        <w:jc w:val="both"/>
        <w:rPr>
          <w:rFonts w:ascii="Times New Roman" w:hAnsi="Times New Roman" w:cs="Times New Roman"/>
        </w:rPr>
      </w:pPr>
      <w:r w:rsidRPr="000E6E53">
        <w:rPr>
          <w:rStyle w:val="A2"/>
          <w:rFonts w:ascii="Times New Roman" w:hAnsi="Times New Roman" w:cs="Times New Roman"/>
        </w:rPr>
        <w:t>In tale contesto l’Autorità ha comunque proceduto, con deliberazione a maggioranza, alla definizione dei prezzi dei servizi di accesso alla rete fissa per gli anni 2022 e 2023, estendendo la validità della precedente analisi di mercato, ed ha proseguito nell’esame del progetto di coinve</w:t>
      </w:r>
      <w:r w:rsidRPr="000E6E53">
        <w:rPr>
          <w:rStyle w:val="A2"/>
          <w:rFonts w:ascii="Times New Roman" w:hAnsi="Times New Roman" w:cs="Times New Roman"/>
        </w:rPr>
        <w:softHyphen/>
        <w:t xml:space="preserve">stimento di TIM in reti ad altissima capacità. </w:t>
      </w:r>
    </w:p>
    <w:p w14:paraId="6B694A23" w14:textId="2968D433" w:rsidR="00662A01" w:rsidRPr="000E6E53" w:rsidRDefault="00662A01" w:rsidP="001F4FBF">
      <w:pPr>
        <w:pStyle w:val="Pa6"/>
        <w:ind w:firstLine="700"/>
        <w:jc w:val="both"/>
        <w:rPr>
          <w:rFonts w:ascii="Times New Roman" w:hAnsi="Times New Roman" w:cs="Times New Roman"/>
        </w:rPr>
      </w:pPr>
      <w:r w:rsidRPr="000E6E53">
        <w:rPr>
          <w:rStyle w:val="A2"/>
          <w:rFonts w:ascii="Times New Roman" w:hAnsi="Times New Roman" w:cs="Times New Roman"/>
        </w:rPr>
        <w:t>Anche nel protrarsi dell’incertezza, l’Auto</w:t>
      </w:r>
      <w:r w:rsidRPr="000E6E53">
        <w:rPr>
          <w:rStyle w:val="A2"/>
          <w:rFonts w:ascii="Times New Roman" w:hAnsi="Times New Roman" w:cs="Times New Roman"/>
        </w:rPr>
        <w:softHyphen/>
        <w:t>rità ha ritenuto di avviare, attraverso la posizione in consultazione pubblica, una nuova analisi coordinata dei mercati dei servizi di accesso alla rete fissa, destinata ad avere effetto per gli anni dal 2024 al 2029. L’auspicio è che si possa giungere in tem</w:t>
      </w:r>
      <w:r w:rsidRPr="000E6E53">
        <w:rPr>
          <w:rStyle w:val="A2"/>
          <w:rFonts w:ascii="Times New Roman" w:hAnsi="Times New Roman" w:cs="Times New Roman"/>
        </w:rPr>
        <w:softHyphen/>
        <w:t xml:space="preserve">pi brevi quantomeno ad un quadro prospettico definito. </w:t>
      </w:r>
    </w:p>
    <w:p w14:paraId="414E1AC6" w14:textId="77777777" w:rsidR="00662A01" w:rsidRPr="000E6E53" w:rsidRDefault="00662A01" w:rsidP="00662A01">
      <w:pPr>
        <w:pStyle w:val="Pa4"/>
        <w:ind w:firstLine="700"/>
        <w:jc w:val="both"/>
        <w:rPr>
          <w:rFonts w:ascii="Times New Roman" w:hAnsi="Times New Roman" w:cs="Times New Roman"/>
        </w:rPr>
      </w:pPr>
      <w:r w:rsidRPr="000E6E53">
        <w:rPr>
          <w:rStyle w:val="A2"/>
          <w:rFonts w:ascii="Times New Roman" w:hAnsi="Times New Roman" w:cs="Times New Roman"/>
        </w:rPr>
        <w:t>Quanto agli interventi per rendere più semplice ed economica l’installazione delle reti di comunicazione elettronica ad altissima capa</w:t>
      </w:r>
      <w:r w:rsidRPr="000E6E53">
        <w:rPr>
          <w:rStyle w:val="A2"/>
          <w:rFonts w:ascii="Times New Roman" w:hAnsi="Times New Roman" w:cs="Times New Roman"/>
        </w:rPr>
        <w:softHyphen/>
        <w:t>cità, l’Autorità, in attuazione di alcune specifi</w:t>
      </w:r>
      <w:r w:rsidRPr="000E6E53">
        <w:rPr>
          <w:rStyle w:val="A2"/>
          <w:rFonts w:ascii="Times New Roman" w:hAnsi="Times New Roman" w:cs="Times New Roman"/>
        </w:rPr>
        <w:softHyphen/>
        <w:t>che previsioni contenute nella legge annuale per il mercato e la concorrenza (adottata nel mese di agosto 2022) e del PNRR, ha approvato un ulteriore e articolato set di linee guida per pro</w:t>
      </w:r>
      <w:r w:rsidRPr="000E6E53">
        <w:rPr>
          <w:rStyle w:val="A2"/>
          <w:rFonts w:ascii="Times New Roman" w:hAnsi="Times New Roman" w:cs="Times New Roman"/>
        </w:rPr>
        <w:softHyphen/>
        <w:t>muovere, tra gli operatori e i gestori, il riutilizzo delle infrastrutture fisiche esistenti e per favorire le condizioni per il coordinamento nella realizza</w:t>
      </w:r>
      <w:r w:rsidRPr="000E6E53">
        <w:rPr>
          <w:rStyle w:val="A2"/>
          <w:rFonts w:ascii="Times New Roman" w:hAnsi="Times New Roman" w:cs="Times New Roman"/>
        </w:rPr>
        <w:softHyphen/>
        <w:t xml:space="preserve">zione delle nuove opere di genio civile. </w:t>
      </w:r>
    </w:p>
    <w:p w14:paraId="6C65F3B8" w14:textId="77777777" w:rsidR="00662A01" w:rsidRPr="000E6E53" w:rsidRDefault="00662A01" w:rsidP="00662A01">
      <w:pPr>
        <w:pStyle w:val="Pa4"/>
        <w:ind w:firstLine="700"/>
        <w:jc w:val="both"/>
        <w:rPr>
          <w:rFonts w:ascii="Times New Roman" w:hAnsi="Times New Roman" w:cs="Times New Roman"/>
        </w:rPr>
      </w:pPr>
      <w:r w:rsidRPr="000E6E53">
        <w:rPr>
          <w:rStyle w:val="A2"/>
          <w:rFonts w:ascii="Times New Roman" w:hAnsi="Times New Roman" w:cs="Times New Roman"/>
        </w:rPr>
        <w:t>Per incentivare lo sviluppo delle reti mo</w:t>
      </w:r>
      <w:r w:rsidRPr="000E6E53">
        <w:rPr>
          <w:rStyle w:val="A2"/>
          <w:rFonts w:ascii="Times New Roman" w:hAnsi="Times New Roman" w:cs="Times New Roman"/>
        </w:rPr>
        <w:softHyphen/>
        <w:t>bili di quinta generazione (5G) e dei relativi ser</w:t>
      </w:r>
      <w:r w:rsidRPr="000E6E53">
        <w:rPr>
          <w:rStyle w:val="A2"/>
          <w:rFonts w:ascii="Times New Roman" w:hAnsi="Times New Roman" w:cs="Times New Roman"/>
        </w:rPr>
        <w:softHyphen/>
        <w:t xml:space="preserve">vizi, AGCOM ha avviato una ridefinizione del radiospettro e delle sue differenti utilizzazioni ai fini di un uso più efficace e innovativo delle frequenze. </w:t>
      </w:r>
    </w:p>
    <w:p w14:paraId="13766B9B" w14:textId="200404F2" w:rsidR="00662A01" w:rsidRPr="000E6E53" w:rsidRDefault="00662A01" w:rsidP="005763AD">
      <w:pPr>
        <w:pStyle w:val="Pa4"/>
        <w:ind w:firstLine="700"/>
        <w:jc w:val="both"/>
        <w:rPr>
          <w:rFonts w:ascii="Times New Roman" w:hAnsi="Times New Roman" w:cs="Times New Roman"/>
        </w:rPr>
      </w:pPr>
      <w:r w:rsidRPr="000E6E53">
        <w:rPr>
          <w:rStyle w:val="A2"/>
          <w:rFonts w:ascii="Times New Roman" w:hAnsi="Times New Roman" w:cs="Times New Roman"/>
        </w:rPr>
        <w:lastRenderedPageBreak/>
        <w:t>Nelle comunicazioni elettroniche è inten</w:t>
      </w:r>
      <w:r w:rsidRPr="000E6E53">
        <w:rPr>
          <w:rStyle w:val="A2"/>
          <w:rFonts w:ascii="Times New Roman" w:hAnsi="Times New Roman" w:cs="Times New Roman"/>
        </w:rPr>
        <w:softHyphen/>
        <w:t>sa l’attività a tutela dei consumatori.</w:t>
      </w:r>
      <w:r w:rsidR="00B616AC" w:rsidRPr="000E6E53">
        <w:rPr>
          <w:rStyle w:val="A2"/>
          <w:rFonts w:ascii="Times New Roman" w:hAnsi="Times New Roman" w:cs="Times New Roman"/>
        </w:rPr>
        <w:t xml:space="preserve"> </w:t>
      </w:r>
      <w:r w:rsidRPr="000E6E53">
        <w:rPr>
          <w:rStyle w:val="A2"/>
          <w:rFonts w:ascii="Times New Roman" w:hAnsi="Times New Roman" w:cs="Times New Roman"/>
        </w:rPr>
        <w:t xml:space="preserve">In questa prospettiva, </w:t>
      </w:r>
      <w:r w:rsidR="00B616AC" w:rsidRPr="000E6E53">
        <w:rPr>
          <w:rStyle w:val="A2"/>
          <w:rFonts w:ascii="Times New Roman" w:hAnsi="Times New Roman" w:cs="Times New Roman"/>
        </w:rPr>
        <w:t xml:space="preserve">si </w:t>
      </w:r>
      <w:r w:rsidRPr="000E6E53">
        <w:rPr>
          <w:rStyle w:val="A2"/>
          <w:rFonts w:ascii="Times New Roman" w:hAnsi="Times New Roman" w:cs="Times New Roman"/>
        </w:rPr>
        <w:t>segnala</w:t>
      </w:r>
      <w:r w:rsidR="00B616AC" w:rsidRPr="000E6E53">
        <w:rPr>
          <w:rStyle w:val="A2"/>
          <w:rFonts w:ascii="Times New Roman" w:hAnsi="Times New Roman" w:cs="Times New Roman"/>
        </w:rPr>
        <w:t xml:space="preserve"> </w:t>
      </w:r>
      <w:r w:rsidRPr="000E6E53">
        <w:rPr>
          <w:rStyle w:val="A2"/>
          <w:rFonts w:ascii="Times New Roman" w:hAnsi="Times New Roman" w:cs="Times New Roman"/>
        </w:rPr>
        <w:t xml:space="preserve">l’opera di razionalizzazione e di aggiornamento della normativa di settore attraverso la creazione di </w:t>
      </w:r>
      <w:r w:rsidRPr="000E6E53">
        <w:rPr>
          <w:rStyle w:val="A2"/>
          <w:rFonts w:ascii="Times New Roman" w:hAnsi="Times New Roman" w:cs="Times New Roman"/>
          <w:b/>
          <w:bCs/>
        </w:rPr>
        <w:t>testi unici regolamentari</w:t>
      </w:r>
      <w:r w:rsidRPr="000E6E53">
        <w:rPr>
          <w:rStyle w:val="A2"/>
          <w:rFonts w:ascii="Times New Roman" w:hAnsi="Times New Roman" w:cs="Times New Roman"/>
        </w:rPr>
        <w:t>. Ne sono un esempio lo schema di nuovo regolamento in materia di contratti tra operatori e utenti, di recente posto in consultazione pubblica (delibera n. 89/23/CONS), che investe tutti i prin</w:t>
      </w:r>
      <w:r w:rsidRPr="000E6E53">
        <w:rPr>
          <w:rStyle w:val="A2"/>
          <w:rFonts w:ascii="Times New Roman" w:hAnsi="Times New Roman" w:cs="Times New Roman"/>
        </w:rPr>
        <w:softHyphen/>
        <w:t>cipali temi di interesse dei consumatori, nonché il testo unico sugli indicatori di qualità del ser</w:t>
      </w:r>
      <w:r w:rsidRPr="000E6E53">
        <w:rPr>
          <w:rStyle w:val="A2"/>
          <w:rFonts w:ascii="Times New Roman" w:hAnsi="Times New Roman" w:cs="Times New Roman"/>
        </w:rPr>
        <w:softHyphen/>
        <w:t>vizio mobile che razionalizza ed unifica l’intera disciplina in materia di qualità dell’offerta e di carte dei servizi (delibera n. 23/23/CONS). Ad essi si aggiunge la consultazione pub</w:t>
      </w:r>
      <w:r w:rsidRPr="000E6E53">
        <w:rPr>
          <w:rStyle w:val="A2"/>
          <w:rFonts w:ascii="Times New Roman" w:hAnsi="Times New Roman" w:cs="Times New Roman"/>
        </w:rPr>
        <w:softHyphen/>
        <w:t>blica sulla qualità dei servizi di contatto per l’as</w:t>
      </w:r>
      <w:r w:rsidRPr="000E6E53">
        <w:rPr>
          <w:rStyle w:val="A2"/>
          <w:rFonts w:ascii="Times New Roman" w:hAnsi="Times New Roman" w:cs="Times New Roman"/>
        </w:rPr>
        <w:softHyphen/>
        <w:t>sistenza clienti nel settore delle comunicazioni elettroniche e dei servizi media audiovisivi (deli</w:t>
      </w:r>
      <w:r w:rsidRPr="000E6E53">
        <w:rPr>
          <w:rStyle w:val="A2"/>
          <w:rFonts w:ascii="Times New Roman" w:hAnsi="Times New Roman" w:cs="Times New Roman"/>
        </w:rPr>
        <w:softHyphen/>
        <w:t>bera n. 436/22/CONS) che ha lo scopo di aggior</w:t>
      </w:r>
      <w:r w:rsidRPr="000E6E53">
        <w:rPr>
          <w:rStyle w:val="A2"/>
          <w:rFonts w:ascii="Times New Roman" w:hAnsi="Times New Roman" w:cs="Times New Roman"/>
        </w:rPr>
        <w:softHyphen/>
        <w:t xml:space="preserve">nare la disciplina che risale al 2009. </w:t>
      </w:r>
    </w:p>
    <w:p w14:paraId="410AE570" w14:textId="77777777" w:rsidR="00662A01" w:rsidRPr="000E6E53" w:rsidRDefault="00662A01" w:rsidP="005763AD">
      <w:pPr>
        <w:pStyle w:val="Pa4"/>
        <w:ind w:firstLine="700"/>
        <w:jc w:val="both"/>
        <w:rPr>
          <w:rFonts w:ascii="Times New Roman" w:hAnsi="Times New Roman" w:cs="Times New Roman"/>
        </w:rPr>
      </w:pPr>
      <w:r w:rsidRPr="000E6E53">
        <w:rPr>
          <w:rStyle w:val="A2"/>
          <w:rFonts w:ascii="Times New Roman" w:hAnsi="Times New Roman" w:cs="Times New Roman"/>
        </w:rPr>
        <w:t xml:space="preserve">Sono stati aggiornati i </w:t>
      </w:r>
      <w:r w:rsidRPr="000E6E53">
        <w:rPr>
          <w:rStyle w:val="A2"/>
          <w:rFonts w:ascii="Times New Roman" w:hAnsi="Times New Roman" w:cs="Times New Roman"/>
          <w:b/>
          <w:bCs/>
        </w:rPr>
        <w:t xml:space="preserve">servizi </w:t>
      </w:r>
      <w:proofErr w:type="spellStart"/>
      <w:r w:rsidRPr="000E6E53">
        <w:rPr>
          <w:rStyle w:val="A2"/>
          <w:rFonts w:ascii="Times New Roman" w:hAnsi="Times New Roman" w:cs="Times New Roman"/>
          <w:b/>
          <w:bCs/>
        </w:rPr>
        <w:t>MisuraIn</w:t>
      </w:r>
      <w:r w:rsidRPr="000E6E53">
        <w:rPr>
          <w:rStyle w:val="A2"/>
          <w:rFonts w:ascii="Times New Roman" w:hAnsi="Times New Roman" w:cs="Times New Roman"/>
          <w:b/>
          <w:bCs/>
        </w:rPr>
        <w:softHyphen/>
        <w:t>ternet</w:t>
      </w:r>
      <w:proofErr w:type="spellEnd"/>
      <w:r w:rsidRPr="000E6E53">
        <w:rPr>
          <w:rStyle w:val="A2"/>
          <w:rFonts w:ascii="Times New Roman" w:hAnsi="Times New Roman" w:cs="Times New Roman"/>
          <w:b/>
          <w:bCs/>
        </w:rPr>
        <w:t xml:space="preserve"> e Broadband </w:t>
      </w:r>
      <w:proofErr w:type="spellStart"/>
      <w:r w:rsidRPr="000E6E53">
        <w:rPr>
          <w:rStyle w:val="A2"/>
          <w:rFonts w:ascii="Times New Roman" w:hAnsi="Times New Roman" w:cs="Times New Roman"/>
          <w:b/>
          <w:bCs/>
        </w:rPr>
        <w:t>Map</w:t>
      </w:r>
      <w:proofErr w:type="spellEnd"/>
      <w:r w:rsidRPr="000E6E53">
        <w:rPr>
          <w:rStyle w:val="A2"/>
          <w:rFonts w:ascii="Times New Roman" w:hAnsi="Times New Roman" w:cs="Times New Roman"/>
          <w:b/>
          <w:bCs/>
        </w:rPr>
        <w:t xml:space="preserve"> </w:t>
      </w:r>
      <w:r w:rsidRPr="000E6E53">
        <w:rPr>
          <w:rStyle w:val="A2"/>
          <w:rFonts w:ascii="Times New Roman" w:hAnsi="Times New Roman" w:cs="Times New Roman"/>
        </w:rPr>
        <w:t>che consentono una conoscenza diretta, immediata e gratuita della co</w:t>
      </w:r>
      <w:r w:rsidRPr="000E6E53">
        <w:rPr>
          <w:rStyle w:val="A2"/>
          <w:rFonts w:ascii="Times New Roman" w:hAnsi="Times New Roman" w:cs="Times New Roman"/>
        </w:rPr>
        <w:softHyphen/>
        <w:t xml:space="preserve">pertura e della qualità della connessione di rete. </w:t>
      </w:r>
    </w:p>
    <w:p w14:paraId="5A10C224" w14:textId="07699500" w:rsidR="00662A01" w:rsidRPr="000E6E53" w:rsidRDefault="00662A01" w:rsidP="005763AD">
      <w:pPr>
        <w:pStyle w:val="Pa4"/>
        <w:ind w:firstLine="700"/>
        <w:jc w:val="both"/>
        <w:rPr>
          <w:rFonts w:ascii="Times New Roman" w:hAnsi="Times New Roman" w:cs="Times New Roman"/>
        </w:rPr>
      </w:pPr>
      <w:r w:rsidRPr="000E6E53">
        <w:rPr>
          <w:rStyle w:val="A2"/>
          <w:rFonts w:ascii="Times New Roman" w:hAnsi="Times New Roman" w:cs="Times New Roman"/>
        </w:rPr>
        <w:t>La piattaforma per la risoluzione digi</w:t>
      </w:r>
      <w:r w:rsidRPr="000E6E53">
        <w:rPr>
          <w:rStyle w:val="A2"/>
          <w:rFonts w:ascii="Times New Roman" w:hAnsi="Times New Roman" w:cs="Times New Roman"/>
        </w:rPr>
        <w:softHyphen/>
        <w:t>tale delle controversie</w:t>
      </w:r>
      <w:r w:rsidRPr="000E6E53">
        <w:rPr>
          <w:rStyle w:val="A2"/>
          <w:rFonts w:ascii="Times New Roman" w:hAnsi="Times New Roman" w:cs="Times New Roman"/>
          <w:b/>
          <w:bCs/>
        </w:rPr>
        <w:t xml:space="preserve">, </w:t>
      </w:r>
      <w:proofErr w:type="spellStart"/>
      <w:r w:rsidRPr="000E6E53">
        <w:rPr>
          <w:rStyle w:val="A2"/>
          <w:rFonts w:ascii="Times New Roman" w:hAnsi="Times New Roman" w:cs="Times New Roman"/>
          <w:b/>
          <w:bCs/>
        </w:rPr>
        <w:t>ConciliaWeb</w:t>
      </w:r>
      <w:proofErr w:type="spellEnd"/>
      <w:r w:rsidRPr="000E6E53">
        <w:rPr>
          <w:rStyle w:val="A2"/>
          <w:rFonts w:ascii="Times New Roman" w:hAnsi="Times New Roman" w:cs="Times New Roman"/>
        </w:rPr>
        <w:t>, si è af</w:t>
      </w:r>
      <w:r w:rsidRPr="000E6E53">
        <w:rPr>
          <w:rStyle w:val="A2"/>
          <w:rFonts w:ascii="Times New Roman" w:hAnsi="Times New Roman" w:cs="Times New Roman"/>
        </w:rPr>
        <w:softHyphen/>
        <w:t xml:space="preserve">fermata come modello utilizzato sia in altri settori di competenza di AGCOM, sia da altre Autorità. </w:t>
      </w:r>
    </w:p>
    <w:p w14:paraId="4FF4D1B8" w14:textId="40E4A19D" w:rsidR="00662A01" w:rsidRPr="000E6E53" w:rsidRDefault="00662A01" w:rsidP="005763AD">
      <w:pPr>
        <w:pStyle w:val="Pa4"/>
        <w:ind w:firstLine="700"/>
        <w:jc w:val="both"/>
        <w:rPr>
          <w:rFonts w:ascii="Times New Roman" w:hAnsi="Times New Roman" w:cs="Times New Roman"/>
        </w:rPr>
      </w:pPr>
      <w:r w:rsidRPr="000E6E53">
        <w:rPr>
          <w:rStyle w:val="A2"/>
          <w:rFonts w:ascii="Times New Roman" w:hAnsi="Times New Roman" w:cs="Times New Roman"/>
        </w:rPr>
        <w:t>A tutela dei minori AGCOM, con la fatti</w:t>
      </w:r>
      <w:r w:rsidRPr="000E6E53">
        <w:rPr>
          <w:rStyle w:val="A2"/>
          <w:rFonts w:ascii="Times New Roman" w:hAnsi="Times New Roman" w:cs="Times New Roman"/>
        </w:rPr>
        <w:softHyphen/>
        <w:t xml:space="preserve">va collaborazione del CNU, ha approvato </w:t>
      </w:r>
      <w:r w:rsidRPr="000E6E53">
        <w:rPr>
          <w:rStyle w:val="A2"/>
          <w:rFonts w:ascii="Times New Roman" w:hAnsi="Times New Roman" w:cs="Times New Roman"/>
          <w:b/>
          <w:bCs/>
        </w:rPr>
        <w:t>le li</w:t>
      </w:r>
      <w:r w:rsidRPr="000E6E53">
        <w:rPr>
          <w:rStyle w:val="A2"/>
          <w:rFonts w:ascii="Times New Roman" w:hAnsi="Times New Roman" w:cs="Times New Roman"/>
          <w:b/>
          <w:bCs/>
        </w:rPr>
        <w:softHyphen/>
        <w:t xml:space="preserve">nee guida per i servizi di controllo parentale </w:t>
      </w:r>
      <w:r w:rsidRPr="000E6E53">
        <w:rPr>
          <w:rStyle w:val="A2"/>
          <w:rFonts w:ascii="Times New Roman" w:hAnsi="Times New Roman" w:cs="Times New Roman"/>
        </w:rPr>
        <w:t>(SCP) che devono essere utilizzati dagli operatori di comunicazioni elettroniche per bloccare domi</w:t>
      </w:r>
      <w:r w:rsidRPr="000E6E53">
        <w:rPr>
          <w:rStyle w:val="A2"/>
          <w:rFonts w:ascii="Times New Roman" w:hAnsi="Times New Roman" w:cs="Times New Roman"/>
        </w:rPr>
        <w:softHyphen/>
        <w:t xml:space="preserve">ni e siti che offrono contenuti illegali e dannosi. </w:t>
      </w:r>
    </w:p>
    <w:p w14:paraId="6C4B45B0" w14:textId="7E1E563C" w:rsidR="002F5D0B" w:rsidRPr="000E6E53" w:rsidRDefault="00662A01" w:rsidP="00662A01">
      <w:pPr>
        <w:autoSpaceDE w:val="0"/>
        <w:autoSpaceDN w:val="0"/>
        <w:adjustRightInd w:val="0"/>
        <w:spacing w:after="0" w:line="240" w:lineRule="auto"/>
        <w:ind w:firstLine="708"/>
        <w:jc w:val="both"/>
        <w:rPr>
          <w:rStyle w:val="A2"/>
          <w:rFonts w:ascii="Times New Roman" w:hAnsi="Times New Roman" w:cs="Times New Roman"/>
          <w:sz w:val="24"/>
          <w:szCs w:val="24"/>
        </w:rPr>
      </w:pPr>
      <w:r w:rsidRPr="000E6E53">
        <w:rPr>
          <w:rStyle w:val="A2"/>
          <w:rFonts w:ascii="Times New Roman" w:hAnsi="Times New Roman" w:cs="Times New Roman"/>
          <w:sz w:val="24"/>
          <w:szCs w:val="24"/>
        </w:rPr>
        <w:t>L’Autorità ha infine confermato le agevo</w:t>
      </w:r>
      <w:r w:rsidRPr="000E6E53">
        <w:rPr>
          <w:rStyle w:val="A2"/>
          <w:rFonts w:ascii="Times New Roman" w:hAnsi="Times New Roman" w:cs="Times New Roman"/>
          <w:sz w:val="24"/>
          <w:szCs w:val="24"/>
        </w:rPr>
        <w:softHyphen/>
        <w:t>lazioni per gli utenti affetti da sordità e cecità, estendendo a tutto giugno 2024 il periodo di spe</w:t>
      </w:r>
      <w:r w:rsidRPr="000E6E53">
        <w:rPr>
          <w:rStyle w:val="A2"/>
          <w:rFonts w:ascii="Times New Roman" w:hAnsi="Times New Roman" w:cs="Times New Roman"/>
          <w:sz w:val="24"/>
          <w:szCs w:val="24"/>
        </w:rPr>
        <w:softHyphen/>
        <w:t>rimentazione per il riconoscimento delle medesi</w:t>
      </w:r>
      <w:r w:rsidRPr="000E6E53">
        <w:rPr>
          <w:rStyle w:val="A2"/>
          <w:rFonts w:ascii="Times New Roman" w:hAnsi="Times New Roman" w:cs="Times New Roman"/>
          <w:sz w:val="24"/>
          <w:szCs w:val="24"/>
        </w:rPr>
        <w:softHyphen/>
        <w:t>me agevolazioni agli utenti con gravi limitazioni delle capacità motorie.</w:t>
      </w:r>
    </w:p>
    <w:p w14:paraId="0ED1304F" w14:textId="77777777" w:rsidR="00814C40" w:rsidRDefault="00814C40" w:rsidP="001D72B6">
      <w:pPr>
        <w:pStyle w:val="Pa7"/>
        <w:ind w:firstLine="700"/>
        <w:jc w:val="both"/>
        <w:rPr>
          <w:rFonts w:ascii="Times New Roman" w:hAnsi="Times New Roman" w:cs="Times New Roman"/>
          <w:color w:val="000000" w:themeColor="text1"/>
        </w:rPr>
      </w:pPr>
    </w:p>
    <w:p w14:paraId="06BCBE7F" w14:textId="35A179FA" w:rsidR="001D72B6" w:rsidRPr="000E6E53" w:rsidRDefault="001D72B6" w:rsidP="001D72B6">
      <w:pPr>
        <w:pStyle w:val="Pa7"/>
        <w:ind w:firstLine="700"/>
        <w:jc w:val="both"/>
        <w:rPr>
          <w:rFonts w:ascii="Times New Roman" w:hAnsi="Times New Roman" w:cs="Times New Roman"/>
          <w:color w:val="000000" w:themeColor="text1"/>
        </w:rPr>
      </w:pPr>
      <w:r w:rsidRPr="000E6E53">
        <w:rPr>
          <w:rFonts w:ascii="Times New Roman" w:hAnsi="Times New Roman" w:cs="Times New Roman"/>
          <w:color w:val="000000" w:themeColor="text1"/>
        </w:rPr>
        <w:t>Nel mercato dei media si conferma il declino strutturale del comparto editoriale</w:t>
      </w:r>
      <w:r w:rsidRPr="000E6E53">
        <w:rPr>
          <w:rFonts w:ascii="Times New Roman" w:hAnsi="Times New Roman" w:cs="Times New Roman"/>
          <w:b/>
          <w:bCs/>
          <w:color w:val="000000" w:themeColor="text1"/>
        </w:rPr>
        <w:t xml:space="preserve"> </w:t>
      </w:r>
      <w:r w:rsidRPr="000E6E53">
        <w:rPr>
          <w:rFonts w:ascii="Times New Roman" w:hAnsi="Times New Roman" w:cs="Times New Roman"/>
          <w:color w:val="000000" w:themeColor="text1"/>
        </w:rPr>
        <w:t>(stampa quotidiana e periodica) e la tenuta di quello te</w:t>
      </w:r>
      <w:r w:rsidRPr="000E6E53">
        <w:rPr>
          <w:rFonts w:ascii="Times New Roman" w:hAnsi="Times New Roman" w:cs="Times New Roman"/>
          <w:color w:val="000000" w:themeColor="text1"/>
        </w:rPr>
        <w:softHyphen/>
        <w:t xml:space="preserve">levisivo, insieme alla crescita dei ricavi di quello radiofonico. </w:t>
      </w:r>
    </w:p>
    <w:p w14:paraId="11E4CB82" w14:textId="77777777" w:rsidR="001D72B6" w:rsidRPr="000E6E53" w:rsidRDefault="001D72B6" w:rsidP="001D72B6">
      <w:pPr>
        <w:pStyle w:val="Pa7"/>
        <w:ind w:firstLine="700"/>
        <w:jc w:val="both"/>
        <w:rPr>
          <w:rFonts w:ascii="Times New Roman" w:hAnsi="Times New Roman" w:cs="Times New Roman"/>
          <w:color w:val="000000" w:themeColor="text1"/>
        </w:rPr>
      </w:pPr>
      <w:proofErr w:type="gramStart"/>
      <w:r w:rsidRPr="000E6E53">
        <w:rPr>
          <w:rFonts w:ascii="Times New Roman" w:hAnsi="Times New Roman" w:cs="Times New Roman"/>
          <w:color w:val="000000" w:themeColor="text1"/>
        </w:rPr>
        <w:t>Nel contempo</w:t>
      </w:r>
      <w:proofErr w:type="gramEnd"/>
      <w:r w:rsidRPr="000E6E53">
        <w:rPr>
          <w:rFonts w:ascii="Times New Roman" w:hAnsi="Times New Roman" w:cs="Times New Roman"/>
          <w:color w:val="000000" w:themeColor="text1"/>
        </w:rPr>
        <w:t>, si registra un’ulteriore cre</w:t>
      </w:r>
      <w:r w:rsidRPr="000E6E53">
        <w:rPr>
          <w:rFonts w:ascii="Times New Roman" w:hAnsi="Times New Roman" w:cs="Times New Roman"/>
          <w:color w:val="000000" w:themeColor="text1"/>
        </w:rPr>
        <w:softHyphen/>
        <w:t>scita dei ricavi, dell’offerta e del numero di abbonati dei servizi Video on demand, offerti su piattaforme internet. L’espansione di queste nuove modalità di fruizione dei contenuti audio</w:t>
      </w:r>
      <w:r w:rsidRPr="000E6E53">
        <w:rPr>
          <w:rFonts w:ascii="Times New Roman" w:hAnsi="Times New Roman" w:cs="Times New Roman"/>
          <w:color w:val="000000" w:themeColor="text1"/>
        </w:rPr>
        <w:softHyphen/>
        <w:t>video è particolarmente significativa soprattutto per le nuove generazioni, peraltro in una pro</w:t>
      </w:r>
      <w:r w:rsidRPr="000E6E53">
        <w:rPr>
          <w:rFonts w:ascii="Times New Roman" w:hAnsi="Times New Roman" w:cs="Times New Roman"/>
          <w:color w:val="000000" w:themeColor="text1"/>
        </w:rPr>
        <w:softHyphen/>
        <w:t xml:space="preserve">spettiva sempre più crossmediale. </w:t>
      </w:r>
    </w:p>
    <w:p w14:paraId="119C2CDA" w14:textId="115FE4A4" w:rsidR="001D72B6" w:rsidRDefault="001D72B6" w:rsidP="001D72B6">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E6E53">
        <w:rPr>
          <w:rFonts w:ascii="Times New Roman" w:hAnsi="Times New Roman" w:cs="Times New Roman"/>
          <w:color w:val="000000" w:themeColor="text1"/>
          <w:sz w:val="24"/>
          <w:szCs w:val="24"/>
        </w:rPr>
        <w:t>Queste tendenze hanno effetti molteplici, investendo le dinamiche concorrenziali, la pro</w:t>
      </w:r>
      <w:r w:rsidRPr="000E6E53">
        <w:rPr>
          <w:rFonts w:ascii="Times New Roman" w:hAnsi="Times New Roman" w:cs="Times New Roman"/>
          <w:color w:val="000000" w:themeColor="text1"/>
          <w:sz w:val="24"/>
          <w:szCs w:val="24"/>
        </w:rPr>
        <w:softHyphen/>
        <w:t>tezione dei consumatori e anche la tutela dei principi del pluralismo: in tale prospettiva esse richiedono un sempre maggiore allineamento delle tutele e, più in generale, delle regole, ri</w:t>
      </w:r>
      <w:r w:rsidRPr="000E6E53">
        <w:rPr>
          <w:rFonts w:ascii="Times New Roman" w:hAnsi="Times New Roman" w:cs="Times New Roman"/>
          <w:color w:val="000000" w:themeColor="text1"/>
          <w:sz w:val="24"/>
          <w:szCs w:val="24"/>
        </w:rPr>
        <w:softHyphen/>
        <w:t>spetto a quelle previste per il settore audiovisivo tradizionale.</w:t>
      </w:r>
    </w:p>
    <w:p w14:paraId="7A4520B9" w14:textId="77777777" w:rsidR="00814C40" w:rsidRPr="000E6E53" w:rsidRDefault="00814C40" w:rsidP="001D72B6">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p>
    <w:p w14:paraId="58C0DAD8" w14:textId="77777777" w:rsidR="001D72B6" w:rsidRPr="000E6E53" w:rsidRDefault="001D72B6" w:rsidP="001D72B6">
      <w:pPr>
        <w:pStyle w:val="Pa4"/>
        <w:ind w:firstLine="700"/>
        <w:jc w:val="both"/>
        <w:rPr>
          <w:rFonts w:ascii="Times New Roman" w:hAnsi="Times New Roman" w:cs="Times New Roman"/>
          <w:color w:val="000000" w:themeColor="text1"/>
        </w:rPr>
      </w:pPr>
      <w:r w:rsidRPr="000E6E53">
        <w:rPr>
          <w:rStyle w:val="A2"/>
          <w:rFonts w:ascii="Times New Roman" w:hAnsi="Times New Roman" w:cs="Times New Roman"/>
          <w:color w:val="000000" w:themeColor="text1"/>
        </w:rPr>
        <w:t>Il mercato dei servizi postali, anche nel 2022, ha evidenziato una tendenza alla crescita, ormai in atto da diversi anni, connessa all’espan</w:t>
      </w:r>
      <w:r w:rsidRPr="000E6E53">
        <w:rPr>
          <w:rStyle w:val="A2"/>
          <w:rFonts w:ascii="Times New Roman" w:hAnsi="Times New Roman" w:cs="Times New Roman"/>
          <w:color w:val="000000" w:themeColor="text1"/>
        </w:rPr>
        <w:softHyphen/>
        <w:t>sione dell’e-commerce e quindi della spedizione e del recapito dei pacchi. Ad essa fa però da contraltare il declino della corrispondenza tradi</w:t>
      </w:r>
      <w:r w:rsidRPr="000E6E53">
        <w:rPr>
          <w:rStyle w:val="A2"/>
          <w:rFonts w:ascii="Times New Roman" w:hAnsi="Times New Roman" w:cs="Times New Roman"/>
          <w:color w:val="000000" w:themeColor="text1"/>
        </w:rPr>
        <w:softHyphen/>
        <w:t xml:space="preserve">zionale. </w:t>
      </w:r>
    </w:p>
    <w:p w14:paraId="799878D7" w14:textId="77777777" w:rsidR="001D72B6" w:rsidRPr="000E6E53" w:rsidRDefault="001D72B6" w:rsidP="001D72B6">
      <w:pPr>
        <w:pStyle w:val="Pa4"/>
        <w:ind w:firstLine="700"/>
        <w:jc w:val="both"/>
        <w:rPr>
          <w:rFonts w:ascii="Times New Roman" w:hAnsi="Times New Roman" w:cs="Times New Roman"/>
          <w:color w:val="000000" w:themeColor="text1"/>
        </w:rPr>
      </w:pPr>
      <w:r w:rsidRPr="000E6E53">
        <w:rPr>
          <w:rStyle w:val="A2"/>
          <w:rFonts w:ascii="Times New Roman" w:hAnsi="Times New Roman" w:cs="Times New Roman"/>
          <w:color w:val="000000" w:themeColor="text1"/>
        </w:rPr>
        <w:t>Tale dinamica ha incentivato gli operato</w:t>
      </w:r>
      <w:r w:rsidRPr="000E6E53">
        <w:rPr>
          <w:rStyle w:val="A2"/>
          <w:rFonts w:ascii="Times New Roman" w:hAnsi="Times New Roman" w:cs="Times New Roman"/>
          <w:color w:val="000000" w:themeColor="text1"/>
        </w:rPr>
        <w:softHyphen/>
        <w:t>ri a fornire servizi a valore aggiunto, attraverso nuove modalità di consegna differenziate a se</w:t>
      </w:r>
      <w:r w:rsidRPr="000E6E53">
        <w:rPr>
          <w:rStyle w:val="A2"/>
          <w:rFonts w:ascii="Times New Roman" w:hAnsi="Times New Roman" w:cs="Times New Roman"/>
          <w:color w:val="000000" w:themeColor="text1"/>
        </w:rPr>
        <w:softHyphen/>
        <w:t>conda dei bisogni dell’utenza, con un incremen</w:t>
      </w:r>
      <w:r w:rsidRPr="000E6E53">
        <w:rPr>
          <w:rStyle w:val="A2"/>
          <w:rFonts w:ascii="Times New Roman" w:hAnsi="Times New Roman" w:cs="Times New Roman"/>
          <w:color w:val="000000" w:themeColor="text1"/>
        </w:rPr>
        <w:softHyphen/>
        <w:t xml:space="preserve">to della produttività anche grazie all’adozione di più razionali sistemi di gestione dei flussi. </w:t>
      </w:r>
    </w:p>
    <w:p w14:paraId="10CD7CAF" w14:textId="6960D148" w:rsidR="001D72B6" w:rsidRDefault="001D72B6" w:rsidP="001D72B6">
      <w:pPr>
        <w:autoSpaceDE w:val="0"/>
        <w:autoSpaceDN w:val="0"/>
        <w:adjustRightInd w:val="0"/>
        <w:spacing w:after="0" w:line="240" w:lineRule="auto"/>
        <w:ind w:firstLine="708"/>
        <w:jc w:val="both"/>
        <w:rPr>
          <w:rStyle w:val="A2"/>
          <w:rFonts w:ascii="Times New Roman" w:hAnsi="Times New Roman" w:cs="Times New Roman"/>
          <w:color w:val="000000" w:themeColor="text1"/>
          <w:sz w:val="24"/>
          <w:szCs w:val="24"/>
        </w:rPr>
      </w:pPr>
      <w:r w:rsidRPr="000E6E53">
        <w:rPr>
          <w:rStyle w:val="A2"/>
          <w:rFonts w:ascii="Times New Roman" w:hAnsi="Times New Roman" w:cs="Times New Roman"/>
          <w:color w:val="000000" w:themeColor="text1"/>
          <w:sz w:val="24"/>
          <w:szCs w:val="24"/>
        </w:rPr>
        <w:t>In questo scenario l’Autorità ha adottato una serie di norme per favorire la concorren</w:t>
      </w:r>
      <w:r w:rsidRPr="000E6E53">
        <w:rPr>
          <w:rStyle w:val="A2"/>
          <w:rFonts w:ascii="Times New Roman" w:hAnsi="Times New Roman" w:cs="Times New Roman"/>
          <w:color w:val="000000" w:themeColor="text1"/>
          <w:sz w:val="24"/>
          <w:szCs w:val="24"/>
        </w:rPr>
        <w:softHyphen/>
        <w:t>za e ha effettuato l’analisi dei mercati dei servizi di consegna della corrispondenza, al fine di in</w:t>
      </w:r>
      <w:r w:rsidRPr="000E6E53">
        <w:rPr>
          <w:rStyle w:val="A2"/>
          <w:rFonts w:ascii="Times New Roman" w:hAnsi="Times New Roman" w:cs="Times New Roman"/>
          <w:color w:val="000000" w:themeColor="text1"/>
          <w:sz w:val="24"/>
          <w:szCs w:val="24"/>
        </w:rPr>
        <w:softHyphen/>
        <w:t>dividuare i mercati rilevanti e i livelli di concor</w:t>
      </w:r>
      <w:r w:rsidRPr="000E6E53">
        <w:rPr>
          <w:rStyle w:val="A2"/>
          <w:rFonts w:ascii="Times New Roman" w:hAnsi="Times New Roman" w:cs="Times New Roman"/>
          <w:color w:val="000000" w:themeColor="text1"/>
          <w:sz w:val="24"/>
          <w:szCs w:val="24"/>
        </w:rPr>
        <w:softHyphen/>
        <w:t>renzialità.</w:t>
      </w:r>
    </w:p>
    <w:p w14:paraId="6CC56894" w14:textId="77777777" w:rsidR="00814C40" w:rsidRPr="000E6E53" w:rsidRDefault="00814C40" w:rsidP="001D72B6">
      <w:pPr>
        <w:autoSpaceDE w:val="0"/>
        <w:autoSpaceDN w:val="0"/>
        <w:adjustRightInd w:val="0"/>
        <w:spacing w:after="0" w:line="240" w:lineRule="auto"/>
        <w:ind w:firstLine="708"/>
        <w:jc w:val="both"/>
        <w:rPr>
          <w:rStyle w:val="A2"/>
          <w:rFonts w:ascii="Times New Roman" w:hAnsi="Times New Roman" w:cs="Times New Roman"/>
          <w:color w:val="000000" w:themeColor="text1"/>
          <w:sz w:val="24"/>
          <w:szCs w:val="24"/>
        </w:rPr>
      </w:pPr>
    </w:p>
    <w:p w14:paraId="621BE823"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 xml:space="preserve">Osservando i </w:t>
      </w:r>
      <w:r w:rsidRPr="00B15BB4">
        <w:rPr>
          <w:rStyle w:val="A2"/>
          <w:rFonts w:ascii="Times New Roman" w:hAnsi="Times New Roman" w:cs="Times New Roman"/>
          <w:b/>
          <w:bCs/>
          <w:color w:val="auto"/>
        </w:rPr>
        <w:t>servizi digitali</w:t>
      </w:r>
      <w:r w:rsidRPr="00B15BB4">
        <w:rPr>
          <w:rStyle w:val="A2"/>
          <w:rFonts w:ascii="Times New Roman" w:hAnsi="Times New Roman" w:cs="Times New Roman"/>
          <w:color w:val="auto"/>
        </w:rPr>
        <w:t>, sono alme</w:t>
      </w:r>
      <w:r w:rsidRPr="00B15BB4">
        <w:rPr>
          <w:rStyle w:val="A2"/>
          <w:rFonts w:ascii="Times New Roman" w:hAnsi="Times New Roman" w:cs="Times New Roman"/>
          <w:color w:val="auto"/>
        </w:rPr>
        <w:softHyphen/>
        <w:t xml:space="preserve">no tre le costanti che ne caratterizzano le diverse forme. </w:t>
      </w:r>
    </w:p>
    <w:p w14:paraId="63A56ABE"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 xml:space="preserve">La prima è l’elevatissima concentrazione in capo a pochi player globali dei relativi mercati. </w:t>
      </w:r>
    </w:p>
    <w:p w14:paraId="5BFCE7AB"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La seconda è l’acquisizione e il controllo di enormi quantità di dati individuali (di utenti, consumatori, lettori), gestiti normalmente attra</w:t>
      </w:r>
      <w:r w:rsidRPr="00B15BB4">
        <w:rPr>
          <w:rStyle w:val="A2"/>
          <w:rFonts w:ascii="Times New Roman" w:hAnsi="Times New Roman" w:cs="Times New Roman"/>
          <w:color w:val="auto"/>
        </w:rPr>
        <w:softHyphen/>
        <w:t xml:space="preserve">verso l’intelligenza artificiale. </w:t>
      </w:r>
    </w:p>
    <w:p w14:paraId="10507380"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La terza è il crescente predominio sul mer</w:t>
      </w:r>
      <w:r w:rsidRPr="00B15BB4">
        <w:rPr>
          <w:rStyle w:val="A2"/>
          <w:rFonts w:ascii="Times New Roman" w:hAnsi="Times New Roman" w:cs="Times New Roman"/>
          <w:color w:val="auto"/>
        </w:rPr>
        <w:softHyphen/>
        <w:t>cato pubblicitario delle piattaforme che li gesti</w:t>
      </w:r>
      <w:r w:rsidRPr="00B15BB4">
        <w:rPr>
          <w:rStyle w:val="A2"/>
          <w:rFonts w:ascii="Times New Roman" w:hAnsi="Times New Roman" w:cs="Times New Roman"/>
          <w:color w:val="auto"/>
        </w:rPr>
        <w:softHyphen/>
        <w:t xml:space="preserve">scono. </w:t>
      </w:r>
    </w:p>
    <w:p w14:paraId="3263AED0" w14:textId="00F817A8"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Questi fattori stanno stravolgendo l’asset</w:t>
      </w:r>
      <w:r w:rsidRPr="00B15BB4">
        <w:rPr>
          <w:rStyle w:val="A2"/>
          <w:rFonts w:ascii="Times New Roman" w:hAnsi="Times New Roman" w:cs="Times New Roman"/>
          <w:color w:val="auto"/>
        </w:rPr>
        <w:softHyphen/>
        <w:t xml:space="preserve">to dei mercati, influenzando anche il pluralismo informativo.  La capacità delle grandi piattaforme di raccogliere, conservare e aggregare una grande </w:t>
      </w:r>
      <w:r w:rsidRPr="00B15BB4">
        <w:rPr>
          <w:rStyle w:val="A2"/>
          <w:rFonts w:ascii="Times New Roman" w:hAnsi="Times New Roman" w:cs="Times New Roman"/>
          <w:color w:val="auto"/>
        </w:rPr>
        <w:lastRenderedPageBreak/>
        <w:t>mole di dati sugli utenti e di utilizzare sofistica</w:t>
      </w:r>
      <w:r w:rsidRPr="00B15BB4">
        <w:rPr>
          <w:rStyle w:val="A2"/>
          <w:rFonts w:ascii="Times New Roman" w:hAnsi="Times New Roman" w:cs="Times New Roman"/>
          <w:color w:val="auto"/>
        </w:rPr>
        <w:softHyphen/>
        <w:t>te tecniche basate sull’intelligenza artificiale, per ottenerne un’accurata profilazione, le rende par</w:t>
      </w:r>
      <w:r w:rsidRPr="00B15BB4">
        <w:rPr>
          <w:rStyle w:val="A2"/>
          <w:rFonts w:ascii="Times New Roman" w:hAnsi="Times New Roman" w:cs="Times New Roman"/>
          <w:color w:val="auto"/>
        </w:rPr>
        <w:softHyphen/>
        <w:t xml:space="preserve">ticolarmente attrattive per gli investitori. </w:t>
      </w:r>
    </w:p>
    <w:p w14:paraId="59FA6AE6" w14:textId="35362BD1" w:rsidR="00BB1D12" w:rsidRPr="00B15BB4" w:rsidRDefault="00BB1D12" w:rsidP="00BB1D12">
      <w:pPr>
        <w:autoSpaceDE w:val="0"/>
        <w:autoSpaceDN w:val="0"/>
        <w:adjustRightInd w:val="0"/>
        <w:spacing w:after="0" w:line="240" w:lineRule="auto"/>
        <w:ind w:firstLine="708"/>
        <w:jc w:val="both"/>
        <w:rPr>
          <w:rStyle w:val="A2"/>
          <w:rFonts w:ascii="Times New Roman" w:hAnsi="Times New Roman" w:cs="Times New Roman"/>
          <w:color w:val="auto"/>
          <w:sz w:val="24"/>
          <w:szCs w:val="24"/>
        </w:rPr>
      </w:pPr>
      <w:r w:rsidRPr="00B15BB4">
        <w:rPr>
          <w:rStyle w:val="A2"/>
          <w:rFonts w:ascii="Times New Roman" w:hAnsi="Times New Roman" w:cs="Times New Roman"/>
          <w:color w:val="auto"/>
          <w:sz w:val="24"/>
          <w:szCs w:val="24"/>
        </w:rPr>
        <w:t>Questa stessa capacità assicura alle piat</w:t>
      </w:r>
      <w:r w:rsidRPr="00B15BB4">
        <w:rPr>
          <w:rStyle w:val="A2"/>
          <w:rFonts w:ascii="Times New Roman" w:hAnsi="Times New Roman" w:cs="Times New Roman"/>
          <w:color w:val="auto"/>
          <w:sz w:val="24"/>
          <w:szCs w:val="24"/>
        </w:rPr>
        <w:softHyphen/>
        <w:t>taforme una posizione di assoluto rilievo anche quali aggregatori e indicizzatori di informazioni, rendendole potenzialmente dominanti nel mon</w:t>
      </w:r>
      <w:r w:rsidRPr="00B15BB4">
        <w:rPr>
          <w:rStyle w:val="A2"/>
          <w:rFonts w:ascii="Times New Roman" w:hAnsi="Times New Roman" w:cs="Times New Roman"/>
          <w:color w:val="auto"/>
          <w:sz w:val="24"/>
          <w:szCs w:val="24"/>
        </w:rPr>
        <w:softHyphen/>
        <w:t>do dell’informazione digitalizzata.</w:t>
      </w:r>
    </w:p>
    <w:p w14:paraId="4A7740A8"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 xml:space="preserve">I motori di ricerca, i social network e le piattaforme di condivisione di video gestiti dai grandi player globali costituiscono veri e propri </w:t>
      </w:r>
      <w:proofErr w:type="spellStart"/>
      <w:r w:rsidRPr="00B15BB4">
        <w:rPr>
          <w:rStyle w:val="A2"/>
          <w:rFonts w:ascii="Times New Roman" w:hAnsi="Times New Roman" w:cs="Times New Roman"/>
          <w:color w:val="auto"/>
        </w:rPr>
        <w:t>gatekeeper</w:t>
      </w:r>
      <w:proofErr w:type="spellEnd"/>
      <w:r w:rsidRPr="00B15BB4">
        <w:rPr>
          <w:rStyle w:val="A2"/>
          <w:rFonts w:ascii="Times New Roman" w:hAnsi="Times New Roman" w:cs="Times New Roman"/>
          <w:color w:val="auto"/>
        </w:rPr>
        <w:t xml:space="preserve"> di accesso all’informazione in rete, non solo per i cittadini, ma anche per gli editori online, che sempre di più dipendono da essi per raggiungere gli utenti. </w:t>
      </w:r>
    </w:p>
    <w:p w14:paraId="5BF85BC6" w14:textId="77777777" w:rsidR="00BB1D12" w:rsidRPr="00B15BB4" w:rsidRDefault="00BB1D12" w:rsidP="00BB1D12">
      <w:pPr>
        <w:pStyle w:val="Pa4"/>
        <w:ind w:firstLine="700"/>
        <w:jc w:val="both"/>
        <w:rPr>
          <w:rFonts w:ascii="Times New Roman" w:hAnsi="Times New Roman" w:cs="Times New Roman"/>
        </w:rPr>
      </w:pPr>
      <w:r w:rsidRPr="00B15BB4">
        <w:rPr>
          <w:rStyle w:val="A2"/>
          <w:rFonts w:ascii="Times New Roman" w:hAnsi="Times New Roman" w:cs="Times New Roman"/>
          <w:color w:val="auto"/>
        </w:rPr>
        <w:t>Tale situazione richiede un costante e sistematico monitoraggio, nonché l’adozione di iniziative, anche di tipo regolamentare, fina</w:t>
      </w:r>
      <w:r w:rsidRPr="00B15BB4">
        <w:rPr>
          <w:rStyle w:val="A2"/>
          <w:rFonts w:ascii="Times New Roman" w:hAnsi="Times New Roman" w:cs="Times New Roman"/>
          <w:color w:val="auto"/>
        </w:rPr>
        <w:softHyphen/>
        <w:t xml:space="preserve">lizzate ad accrescere la trasparenza del sistema dell’informazione online e ad assicurare una più efficace tutela dei minori. </w:t>
      </w:r>
    </w:p>
    <w:p w14:paraId="6FDEE58A" w14:textId="61E5A69A" w:rsidR="00BB1D12" w:rsidRPr="00B15BB4" w:rsidRDefault="00BB1D12" w:rsidP="00BB1D12">
      <w:pPr>
        <w:autoSpaceDE w:val="0"/>
        <w:autoSpaceDN w:val="0"/>
        <w:adjustRightInd w:val="0"/>
        <w:spacing w:after="0" w:line="240" w:lineRule="auto"/>
        <w:ind w:firstLine="708"/>
        <w:jc w:val="both"/>
        <w:rPr>
          <w:rFonts w:ascii="Times New Roman" w:hAnsi="Times New Roman" w:cs="Times New Roman"/>
          <w:sz w:val="24"/>
          <w:szCs w:val="24"/>
          <w:highlight w:val="yellow"/>
        </w:rPr>
      </w:pPr>
      <w:r w:rsidRPr="00B15BB4">
        <w:rPr>
          <w:rStyle w:val="A2"/>
          <w:rFonts w:ascii="Times New Roman" w:hAnsi="Times New Roman" w:cs="Times New Roman"/>
          <w:color w:val="auto"/>
          <w:sz w:val="24"/>
          <w:szCs w:val="24"/>
        </w:rPr>
        <w:t>La disciplina del Digital Services Act preve</w:t>
      </w:r>
      <w:r w:rsidRPr="00B15BB4">
        <w:rPr>
          <w:rStyle w:val="A2"/>
          <w:rFonts w:ascii="Times New Roman" w:hAnsi="Times New Roman" w:cs="Times New Roman"/>
          <w:color w:val="auto"/>
          <w:sz w:val="24"/>
          <w:szCs w:val="24"/>
        </w:rPr>
        <w:softHyphen/>
        <w:t>de puntuali meccanismi di co-regolamentazione per le attività delle piattaforme di dimensioni mol</w:t>
      </w:r>
      <w:r w:rsidRPr="00B15BB4">
        <w:rPr>
          <w:rStyle w:val="A2"/>
          <w:rFonts w:ascii="Times New Roman" w:hAnsi="Times New Roman" w:cs="Times New Roman"/>
          <w:color w:val="auto"/>
          <w:sz w:val="24"/>
          <w:szCs w:val="24"/>
        </w:rPr>
        <w:softHyphen/>
        <w:t xml:space="preserve">to grandi, al fine di assicurare, tra l’altro, </w:t>
      </w:r>
      <w:r w:rsidRPr="00B15BB4">
        <w:rPr>
          <w:rStyle w:val="A2"/>
          <w:rFonts w:ascii="Times New Roman" w:hAnsi="Times New Roman" w:cs="Times New Roman"/>
          <w:b/>
          <w:bCs/>
          <w:color w:val="auto"/>
          <w:sz w:val="24"/>
          <w:szCs w:val="24"/>
        </w:rPr>
        <w:t xml:space="preserve">la tutela del pluralismo informativo </w:t>
      </w:r>
      <w:r w:rsidRPr="00B15BB4">
        <w:rPr>
          <w:rStyle w:val="A2"/>
          <w:rFonts w:ascii="Times New Roman" w:hAnsi="Times New Roman" w:cs="Times New Roman"/>
          <w:color w:val="auto"/>
          <w:sz w:val="24"/>
          <w:szCs w:val="24"/>
        </w:rPr>
        <w:t xml:space="preserve">e della correttezza dell’informazione e la </w:t>
      </w:r>
      <w:r w:rsidRPr="00B15BB4">
        <w:rPr>
          <w:rStyle w:val="A2"/>
          <w:rFonts w:ascii="Times New Roman" w:hAnsi="Times New Roman" w:cs="Times New Roman"/>
          <w:b/>
          <w:bCs/>
          <w:color w:val="auto"/>
          <w:sz w:val="24"/>
          <w:szCs w:val="24"/>
        </w:rPr>
        <w:t xml:space="preserve">protezione dei minori da contenuti illegali </w:t>
      </w:r>
      <w:r w:rsidRPr="00B15BB4">
        <w:rPr>
          <w:rStyle w:val="A2"/>
          <w:rFonts w:ascii="Times New Roman" w:hAnsi="Times New Roman" w:cs="Times New Roman"/>
          <w:color w:val="auto"/>
          <w:sz w:val="24"/>
          <w:szCs w:val="24"/>
        </w:rPr>
        <w:t>o nocivi, attraverso un arti</w:t>
      </w:r>
      <w:r w:rsidRPr="00B15BB4">
        <w:rPr>
          <w:rStyle w:val="A2"/>
          <w:rFonts w:ascii="Times New Roman" w:hAnsi="Times New Roman" w:cs="Times New Roman"/>
          <w:color w:val="auto"/>
          <w:sz w:val="24"/>
          <w:szCs w:val="24"/>
        </w:rPr>
        <w:softHyphen/>
        <w:t>colato sistema di collaborazione tra Commissione europea, Digital Services Coordinator e regolatori nazionali dei servizi di media audiovisivi.</w:t>
      </w:r>
    </w:p>
    <w:p w14:paraId="4182CAAB" w14:textId="77777777" w:rsidR="0006527D" w:rsidRDefault="0006527D" w:rsidP="004E69C3">
      <w:pPr>
        <w:autoSpaceDE w:val="0"/>
        <w:autoSpaceDN w:val="0"/>
        <w:adjustRightInd w:val="0"/>
        <w:spacing w:after="0" w:line="240" w:lineRule="auto"/>
        <w:ind w:firstLine="708"/>
        <w:jc w:val="both"/>
        <w:rPr>
          <w:rFonts w:ascii="Times New Roman" w:hAnsi="Times New Roman" w:cs="Times New Roman"/>
          <w:sz w:val="24"/>
          <w:szCs w:val="24"/>
        </w:rPr>
      </w:pPr>
    </w:p>
    <w:p w14:paraId="5E0D51FA" w14:textId="77777777" w:rsidR="004A15B4" w:rsidRPr="000E6E53" w:rsidRDefault="004A15B4" w:rsidP="004A15B4">
      <w:pPr>
        <w:spacing w:after="0" w:line="240" w:lineRule="auto"/>
        <w:ind w:firstLine="709"/>
        <w:jc w:val="both"/>
        <w:rPr>
          <w:rFonts w:ascii="Times New Roman" w:eastAsia="Calibri" w:hAnsi="Times New Roman" w:cs="Times New Roman"/>
          <w:sz w:val="24"/>
          <w:szCs w:val="24"/>
        </w:rPr>
      </w:pPr>
    </w:p>
    <w:p w14:paraId="68DBE8F7" w14:textId="77777777" w:rsidR="000002F7" w:rsidRPr="000E6E53" w:rsidRDefault="000002F7" w:rsidP="00213BAD">
      <w:pPr>
        <w:spacing w:after="0" w:line="240" w:lineRule="auto"/>
        <w:ind w:firstLine="709"/>
        <w:jc w:val="both"/>
        <w:rPr>
          <w:rFonts w:ascii="Times New Roman" w:eastAsia="Calibri" w:hAnsi="Times New Roman" w:cs="Times New Roman"/>
          <w:i/>
          <w:sz w:val="24"/>
          <w:szCs w:val="24"/>
        </w:rPr>
      </w:pPr>
      <w:r w:rsidRPr="000E6E53">
        <w:rPr>
          <w:rFonts w:ascii="Times New Roman" w:eastAsia="Calibri" w:hAnsi="Times New Roman" w:cs="Times New Roman"/>
          <w:i/>
          <w:sz w:val="24"/>
          <w:szCs w:val="24"/>
        </w:rPr>
        <w:t>Le dinamiche del settore</w:t>
      </w:r>
    </w:p>
    <w:p w14:paraId="03A824E1" w14:textId="77777777" w:rsidR="002E753A" w:rsidRPr="000E6E53" w:rsidRDefault="002E753A" w:rsidP="00A1507A">
      <w:pPr>
        <w:autoSpaceDE w:val="0"/>
        <w:autoSpaceDN w:val="0"/>
        <w:adjustRightInd w:val="0"/>
        <w:spacing w:after="0" w:line="240" w:lineRule="auto"/>
        <w:ind w:firstLine="709"/>
        <w:jc w:val="both"/>
        <w:rPr>
          <w:rFonts w:ascii="Times New Roman" w:hAnsi="Times New Roman" w:cs="Times New Roman"/>
          <w:sz w:val="24"/>
          <w:szCs w:val="24"/>
        </w:rPr>
      </w:pPr>
    </w:p>
    <w:p w14:paraId="51DA5CC6" w14:textId="64907386" w:rsidR="002F3425" w:rsidRPr="000E6E53" w:rsidRDefault="00EF1340"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Le due crisi della pandemia da Covid-19 e dell’invasione russa dell’Ucraina</w:t>
      </w:r>
      <w:r w:rsidR="002F3425" w:rsidRPr="000E6E53">
        <w:rPr>
          <w:rFonts w:ascii="Times New Roman" w:hAnsi="Times New Roman" w:cs="Times New Roman"/>
          <w:sz w:val="24"/>
          <w:szCs w:val="24"/>
        </w:rPr>
        <w:t xml:space="preserve"> </w:t>
      </w:r>
      <w:r w:rsidRPr="000E6E53">
        <w:rPr>
          <w:rFonts w:ascii="Times New Roman" w:hAnsi="Times New Roman" w:cs="Times New Roman"/>
          <w:sz w:val="24"/>
          <w:szCs w:val="24"/>
        </w:rPr>
        <w:t>non hanno</w:t>
      </w:r>
      <w:r w:rsidR="002F3425" w:rsidRPr="000E6E53">
        <w:rPr>
          <w:rFonts w:ascii="Times New Roman" w:hAnsi="Times New Roman" w:cs="Times New Roman"/>
          <w:sz w:val="24"/>
          <w:szCs w:val="24"/>
        </w:rPr>
        <w:t xml:space="preserve"> arrestato</w:t>
      </w:r>
      <w:r w:rsidRPr="000E6E53">
        <w:rPr>
          <w:rFonts w:ascii="Times New Roman" w:hAnsi="Times New Roman" w:cs="Times New Roman"/>
          <w:sz w:val="24"/>
          <w:szCs w:val="24"/>
        </w:rPr>
        <w:t xml:space="preserve"> nel 2022</w:t>
      </w:r>
      <w:r w:rsidR="002F3425" w:rsidRPr="000E6E53">
        <w:rPr>
          <w:rFonts w:ascii="Times New Roman" w:hAnsi="Times New Roman" w:cs="Times New Roman"/>
          <w:sz w:val="24"/>
          <w:szCs w:val="24"/>
        </w:rPr>
        <w:t xml:space="preserve"> il processo di trasformazione</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digitale, anzi, ne hanno evidenziato la centralità per lo sviluppo economico,</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sociale e culturale. Non è un caso quindi che, nel gennaio 2023, l’Unione europea abbia deciso di</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dare avvio al “primo ciclo di cooperazione e monitoraggio per conseguire gli obiettivi del decennio digitale”, un programma per la trasformazione dell’intera Unione europea in un’area digitale entro il</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2030. A questo obiettivo ha fatto seguito la “Dichiarazione europea sui diritti e i principi digitali per il</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decennio digitale” che ha ribadito l’impegno per una trasformazione “sicura, sostenibile e che ponga</w:t>
      </w:r>
      <w:r w:rsidR="00BF1BCE" w:rsidRPr="000E6E53">
        <w:rPr>
          <w:rFonts w:ascii="Times New Roman" w:hAnsi="Times New Roman" w:cs="Times New Roman"/>
          <w:sz w:val="24"/>
          <w:szCs w:val="24"/>
        </w:rPr>
        <w:t xml:space="preserve"> </w:t>
      </w:r>
      <w:r w:rsidR="002F3425" w:rsidRPr="000E6E53">
        <w:rPr>
          <w:rFonts w:ascii="Times New Roman" w:hAnsi="Times New Roman" w:cs="Times New Roman"/>
          <w:sz w:val="24"/>
          <w:szCs w:val="24"/>
        </w:rPr>
        <w:t>al centro le persone”, garantendo il pieno rispetto dei valori e diritti fondamentali nell’Unione.</w:t>
      </w:r>
    </w:p>
    <w:p w14:paraId="5A06A304" w14:textId="367E4786"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Il settore delle comunicazioni elettroniche conosce nell’anno 2022 una ulteriore riduzione in termini di risorse complessive pari al 3,3% (-2,8</w:t>
      </w:r>
      <w:r w:rsidR="00B15BB4">
        <w:rPr>
          <w:rFonts w:ascii="Times New Roman" w:hAnsi="Times New Roman" w:cs="Times New Roman"/>
          <w:sz w:val="24"/>
          <w:szCs w:val="24"/>
        </w:rPr>
        <w:t>%</w:t>
      </w:r>
      <w:r w:rsidRPr="000E6E53">
        <w:rPr>
          <w:rFonts w:ascii="Times New Roman" w:hAnsi="Times New Roman" w:cs="Times New Roman"/>
          <w:sz w:val="24"/>
          <w:szCs w:val="24"/>
        </w:rPr>
        <w:t xml:space="preserve"> nel 2021) nell’ambito di un quadro macroeconomico che, pur caratterizzato da rilevanti dinamiche inflattive, si mostra nei suoi indicatori principali (PIL, consumi delle famiglie ed investimenti), in sostanziale ripresa.</w:t>
      </w:r>
    </w:p>
    <w:p w14:paraId="63411AFF" w14:textId="258ABDB7"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Il valore complessivo del settore si attesta intorno ai 27 miliardi di euro, con una flessione, nel quinquennio 2018-2022 dell’ordine del 13,7%, pari a circa 4,3 miliardi di euro. Tale flessione è ascrivibile principalmente al calo delle risorse della rete mobile, il cui valore </w:t>
      </w:r>
      <w:r w:rsidR="00085F3A" w:rsidRPr="000E6E53">
        <w:rPr>
          <w:rFonts w:ascii="Times New Roman" w:hAnsi="Times New Roman" w:cs="Times New Roman"/>
          <w:sz w:val="24"/>
          <w:szCs w:val="24"/>
        </w:rPr>
        <w:t>-</w:t>
      </w:r>
      <w:r w:rsidRPr="000E6E53">
        <w:rPr>
          <w:rFonts w:ascii="Times New Roman" w:hAnsi="Times New Roman" w:cs="Times New Roman"/>
          <w:sz w:val="24"/>
          <w:szCs w:val="24"/>
        </w:rPr>
        <w:t xml:space="preserve"> oggi pari a 11,74 miliardi di euro - appare ridotto del 5,3% rispetto al 2021, mentre i servizi di rete fissa - con un valore complessivo pari a 15,19 miliardi di euro - mostrano una riduzione più contenuta (-1,7%).</w:t>
      </w:r>
    </w:p>
    <w:p w14:paraId="73E5D462" w14:textId="377DFBC2"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La contrazione delle risorse complessivamente allocate nel settore - fenomeno in atto ormai da anni - si inscrive in un contesto più generale caratterizzato dalla piena maturità di alcuni segmenti (es. il segmento delle linee mobili), dalla crescita di altri (es. il segmento delle linee fisse </w:t>
      </w:r>
      <w:proofErr w:type="spellStart"/>
      <w:r w:rsidRPr="000E6E53">
        <w:rPr>
          <w:rFonts w:ascii="Times New Roman" w:hAnsi="Times New Roman" w:cs="Times New Roman"/>
          <w:i/>
          <w:iCs/>
          <w:sz w:val="24"/>
          <w:szCs w:val="24"/>
        </w:rPr>
        <w:t>ultrabroadband</w:t>
      </w:r>
      <w:proofErr w:type="spellEnd"/>
      <w:r w:rsidRPr="000E6E53">
        <w:rPr>
          <w:rFonts w:ascii="Times New Roman" w:hAnsi="Times New Roman" w:cs="Times New Roman"/>
          <w:sz w:val="24"/>
          <w:szCs w:val="24"/>
        </w:rPr>
        <w:t>), da un generale aumento nei consumi (nel traffico dati in particolare) e da un andamento dei prezzi opposto rispetto a quello mostrato dall’indice nazionale dei prezzi al consumo per l’intera collettività.</w:t>
      </w:r>
    </w:p>
    <w:p w14:paraId="45280377" w14:textId="4AE12639"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Si conferma, così, il processo di progressiva riduzione del rapporto tra le risorse del comparto e le principali grandezze macroeconomiche (PIL, spesa delle famiglie, investimenti), che,</w:t>
      </w:r>
    </w:p>
    <w:p w14:paraId="1501A709" w14:textId="3196EEBA" w:rsidR="00BF1BCE" w:rsidRPr="000E6E53" w:rsidRDefault="00BF1BCE" w:rsidP="00BF1BCE">
      <w:pPr>
        <w:autoSpaceDE w:val="0"/>
        <w:autoSpaceDN w:val="0"/>
        <w:adjustRightInd w:val="0"/>
        <w:spacing w:after="0" w:line="240" w:lineRule="auto"/>
        <w:jc w:val="both"/>
        <w:rPr>
          <w:rFonts w:ascii="Times New Roman" w:hAnsi="Times New Roman" w:cs="Times New Roman"/>
          <w:sz w:val="24"/>
          <w:szCs w:val="24"/>
        </w:rPr>
      </w:pPr>
      <w:r w:rsidRPr="000E6E53">
        <w:rPr>
          <w:rFonts w:ascii="Times New Roman" w:hAnsi="Times New Roman" w:cs="Times New Roman"/>
          <w:sz w:val="24"/>
          <w:szCs w:val="24"/>
        </w:rPr>
        <w:t>nel corso dell’ultimo anno, registra il valore più basso dell’intero periodo 2018-2022.</w:t>
      </w:r>
    </w:p>
    <w:p w14:paraId="5C5A1448" w14:textId="6B1D5314"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Esaminando la parte dei ricavi ascrivibile alla spesa della clientela residenziale e affari, nel corso </w:t>
      </w:r>
      <w:r w:rsidR="00E978DF" w:rsidRPr="000E6E53">
        <w:rPr>
          <w:rFonts w:ascii="Times New Roman" w:hAnsi="Times New Roman" w:cs="Times New Roman"/>
          <w:sz w:val="24"/>
          <w:szCs w:val="24"/>
        </w:rPr>
        <w:t>del 2022</w:t>
      </w:r>
      <w:r w:rsidRPr="000E6E53">
        <w:rPr>
          <w:rFonts w:ascii="Times New Roman" w:hAnsi="Times New Roman" w:cs="Times New Roman"/>
          <w:sz w:val="24"/>
          <w:szCs w:val="24"/>
        </w:rPr>
        <w:t xml:space="preserve"> si registra una flessione complessiva pari al 2,8%. Emergono tuttavia significative differenze a seconda della natura dei servizi: i ricavi della telefonia mobile mostrano una diminuzione </w:t>
      </w:r>
      <w:r w:rsidRPr="000E6E53">
        <w:rPr>
          <w:rFonts w:ascii="Times New Roman" w:hAnsi="Times New Roman" w:cs="Times New Roman"/>
          <w:sz w:val="24"/>
          <w:szCs w:val="24"/>
        </w:rPr>
        <w:lastRenderedPageBreak/>
        <w:t>del 3,8%, superiore a quella (1,9%) registrata per i ricavi della rete fissa, mentre, guardando separatamente alla clientela residenziale e a quella affari, si evidenzia una contrazione della prima (-5,4%) a fronte di un leggero aumento (+1,6%) della seconda.</w:t>
      </w:r>
    </w:p>
    <w:p w14:paraId="6519EC10" w14:textId="462D1BD4"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La crescente pressione competitiva dovuta al recente ingresso nel settore della telefonia fissa</w:t>
      </w:r>
    </w:p>
    <w:p w14:paraId="7F99316C" w14:textId="5F091C80" w:rsidR="00BF1BCE" w:rsidRPr="000E6E53" w:rsidRDefault="00BF1BCE" w:rsidP="00BF1BCE">
      <w:pPr>
        <w:autoSpaceDE w:val="0"/>
        <w:autoSpaceDN w:val="0"/>
        <w:adjustRightInd w:val="0"/>
        <w:spacing w:after="0" w:line="240" w:lineRule="auto"/>
        <w:jc w:val="both"/>
        <w:rPr>
          <w:rFonts w:ascii="Times New Roman" w:hAnsi="Times New Roman" w:cs="Times New Roman"/>
          <w:sz w:val="24"/>
          <w:szCs w:val="24"/>
        </w:rPr>
      </w:pPr>
      <w:r w:rsidRPr="000E6E53">
        <w:rPr>
          <w:rFonts w:ascii="Times New Roman" w:hAnsi="Times New Roman" w:cs="Times New Roman"/>
          <w:sz w:val="24"/>
          <w:szCs w:val="24"/>
        </w:rPr>
        <w:t xml:space="preserve">di nuovi importanti </w:t>
      </w:r>
      <w:r w:rsidRPr="000E6E53">
        <w:rPr>
          <w:rFonts w:ascii="Times New Roman" w:hAnsi="Times New Roman" w:cs="Times New Roman"/>
          <w:i/>
          <w:iCs/>
          <w:sz w:val="24"/>
          <w:szCs w:val="24"/>
        </w:rPr>
        <w:t xml:space="preserve">player </w:t>
      </w:r>
      <w:r w:rsidRPr="000E6E53">
        <w:rPr>
          <w:rFonts w:ascii="Times New Roman" w:hAnsi="Times New Roman" w:cs="Times New Roman"/>
          <w:sz w:val="24"/>
          <w:szCs w:val="24"/>
        </w:rPr>
        <w:t xml:space="preserve">quali, ad esempio, Iliad e Postepay, ha determinato una contrazione pari al 6,7% dei ricavi derivanti dalla vendita di servizi di rete fissa alla clientela residenziale. </w:t>
      </w:r>
    </w:p>
    <w:p w14:paraId="1ABA7E01" w14:textId="7B974C9D" w:rsidR="004301E0" w:rsidRPr="000E6E53" w:rsidRDefault="00BF1BCE" w:rsidP="004301E0">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Le evidenze emerse per il 2022 confermano tendenze già in atto da diversi anni. Si conferma, in particolare, il progressivo ampliamento della differenza (1,6 miliardi nel 2022) che, a partire dal 2018, vede la spesa complessiva degli utenti di servizi di rete fissa risultare progressivamente superiore a quanto osservato per i servizi su rete mobile. </w:t>
      </w:r>
    </w:p>
    <w:p w14:paraId="7711FB8F" w14:textId="280BF344" w:rsidR="00BF1BCE" w:rsidRPr="000E6E53" w:rsidRDefault="00BF1BCE" w:rsidP="004301E0">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Tale ultimo dato consegue dalla forte pressione competitiva esercitata sui prezzi, che</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vede coinvolti gli operatori storici (Mobile Network </w:t>
      </w:r>
      <w:proofErr w:type="spellStart"/>
      <w:r w:rsidRPr="000E6E53">
        <w:rPr>
          <w:rFonts w:ascii="Times New Roman" w:hAnsi="Times New Roman" w:cs="Times New Roman"/>
          <w:sz w:val="24"/>
          <w:szCs w:val="24"/>
        </w:rPr>
        <w:t>Operators</w:t>
      </w:r>
      <w:proofErr w:type="spellEnd"/>
      <w:r w:rsidRPr="000E6E53">
        <w:rPr>
          <w:rFonts w:ascii="Times New Roman" w:hAnsi="Times New Roman" w:cs="Times New Roman"/>
          <w:sz w:val="24"/>
          <w:szCs w:val="24"/>
        </w:rPr>
        <w:t xml:space="preserve"> - MNO), quelli entrati più</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di recente nel mercato come Iliad e gli operatori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mobili virtuali (Mobile Virtual Network </w:t>
      </w:r>
      <w:proofErr w:type="spellStart"/>
      <w:r w:rsidRPr="000E6E53">
        <w:rPr>
          <w:rFonts w:ascii="Times New Roman" w:hAnsi="Times New Roman" w:cs="Times New Roman"/>
          <w:sz w:val="24"/>
          <w:szCs w:val="24"/>
        </w:rPr>
        <w:t>Operators</w:t>
      </w:r>
      <w:proofErr w:type="spellEnd"/>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 MVNO), in particolare Fastweb, PostePay</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e CoopVoce: nel 2022 i ricavi </w:t>
      </w:r>
      <w:r w:rsidRPr="000E6E53">
        <w:rPr>
          <w:rFonts w:ascii="Times New Roman" w:hAnsi="Times New Roman" w:cs="Times New Roman"/>
          <w:i/>
          <w:iCs/>
          <w:sz w:val="24"/>
          <w:szCs w:val="24"/>
        </w:rPr>
        <w:t xml:space="preserve">retail </w:t>
      </w:r>
      <w:r w:rsidRPr="000E6E53">
        <w:rPr>
          <w:rFonts w:ascii="Times New Roman" w:hAnsi="Times New Roman" w:cs="Times New Roman"/>
          <w:sz w:val="24"/>
          <w:szCs w:val="24"/>
        </w:rPr>
        <w:t>da rete mobile</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si riducono del 3,8% rispetto all’anno precedente,</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attestandosi su un valore di poco inferiore</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ai 10 miliardi di euro, il 21% in meno rispetto ai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12,7 miliardi del 2018.</w:t>
      </w:r>
    </w:p>
    <w:p w14:paraId="734A6509" w14:textId="20EE2292" w:rsidR="00BF1BCE" w:rsidRPr="000E6E53" w:rsidRDefault="00BF1BCE" w:rsidP="004301E0">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Per contro, i ricavi da rete fissa, pur caratterizzati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da una forte pressione sui prezzi, beneficiano</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della progressiva diffusione della banda</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ultra-larga, laddove la garanzia di servizi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prestazioni migliori garantisce prezzi unitari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nei canoni e oneri connessi alla sottoscrizione</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di abbonamenti </w:t>
      </w:r>
      <w:r w:rsidRPr="000E6E53">
        <w:rPr>
          <w:rFonts w:ascii="Times New Roman" w:hAnsi="Times New Roman" w:cs="Times New Roman"/>
          <w:i/>
          <w:iCs/>
          <w:sz w:val="24"/>
          <w:szCs w:val="24"/>
        </w:rPr>
        <w:t xml:space="preserve">broadband </w:t>
      </w:r>
      <w:r w:rsidRPr="000E6E53">
        <w:rPr>
          <w:rFonts w:ascii="Times New Roman" w:hAnsi="Times New Roman" w:cs="Times New Roman"/>
          <w:sz w:val="24"/>
          <w:szCs w:val="24"/>
        </w:rPr>
        <w:t>più elevati rispetto</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a quelli consentiti da accessi con prestazioni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inferiori.</w:t>
      </w:r>
    </w:p>
    <w:p w14:paraId="6DEB2D0B" w14:textId="4CD4B286" w:rsidR="00BF1BCE" w:rsidRPr="000E6E53" w:rsidRDefault="00BF1BCE" w:rsidP="004301E0">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Lo scorso anno, i ricavi da servizi </w:t>
      </w:r>
      <w:proofErr w:type="spellStart"/>
      <w:r w:rsidRPr="000E6E53">
        <w:rPr>
          <w:rFonts w:ascii="Times New Roman" w:hAnsi="Times New Roman" w:cs="Times New Roman"/>
          <w:i/>
          <w:iCs/>
          <w:sz w:val="24"/>
          <w:szCs w:val="24"/>
        </w:rPr>
        <w:t>wholesale</w:t>
      </w:r>
      <w:proofErr w:type="spellEnd"/>
      <w:r w:rsidR="004301E0"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si sono ridotti in media del 5,2% rispetto al</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2021, con la componente relativa alla rete fissa</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che mostra una sostanziale invarianza (-0,9%)</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e la componente di rete mobile in flessione del</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12,9% con un valore di poco inferiore ai 1,8 miliardi</w:t>
      </w:r>
      <w:r w:rsidR="004301E0" w:rsidRPr="000E6E53">
        <w:rPr>
          <w:rFonts w:ascii="Times New Roman" w:hAnsi="Times New Roman" w:cs="Times New Roman"/>
          <w:sz w:val="24"/>
          <w:szCs w:val="24"/>
        </w:rPr>
        <w:t xml:space="preserve"> </w:t>
      </w:r>
      <w:r w:rsidRPr="000E6E53">
        <w:rPr>
          <w:rFonts w:ascii="Times New Roman" w:hAnsi="Times New Roman" w:cs="Times New Roman"/>
          <w:sz w:val="24"/>
          <w:szCs w:val="24"/>
        </w:rPr>
        <w:t>di euro.</w:t>
      </w:r>
    </w:p>
    <w:p w14:paraId="68B1DD3F" w14:textId="4D139EAF" w:rsidR="00BF1BCE" w:rsidRPr="000E6E53" w:rsidRDefault="00BF1BCE" w:rsidP="004B2796">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Nel primo caso, la tenuta delle risorse</w:t>
      </w:r>
      <w:r w:rsidR="004B2796" w:rsidRPr="000E6E53">
        <w:rPr>
          <w:rFonts w:ascii="Times New Roman" w:hAnsi="Times New Roman" w:cs="Times New Roman"/>
          <w:sz w:val="24"/>
          <w:szCs w:val="24"/>
        </w:rPr>
        <w:t xml:space="preserve"> </w:t>
      </w:r>
      <w:proofErr w:type="spellStart"/>
      <w:r w:rsidRPr="000E6E53">
        <w:rPr>
          <w:rFonts w:ascii="Times New Roman" w:hAnsi="Times New Roman" w:cs="Times New Roman"/>
          <w:i/>
          <w:iCs/>
          <w:sz w:val="24"/>
          <w:szCs w:val="24"/>
        </w:rPr>
        <w:t>wholesale</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è determinata in particolare dall’aumento</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 in media del 9,0% - degli introiti da canoni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e contributi derivanti dalla progressiva diffusione</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di accessi </w:t>
      </w:r>
      <w:proofErr w:type="spellStart"/>
      <w:r w:rsidRPr="000E6E53">
        <w:rPr>
          <w:rFonts w:ascii="Times New Roman" w:hAnsi="Times New Roman" w:cs="Times New Roman"/>
          <w:i/>
          <w:iCs/>
          <w:sz w:val="24"/>
          <w:szCs w:val="24"/>
        </w:rPr>
        <w:t>ultrabroadband</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 xml:space="preserve">(VDSL </w:t>
      </w:r>
      <w:r w:rsidR="004B2796" w:rsidRPr="000E6E53">
        <w:rPr>
          <w:rFonts w:ascii="Times New Roman" w:hAnsi="Times New Roman" w:cs="Times New Roman"/>
          <w:sz w:val="24"/>
          <w:szCs w:val="24"/>
        </w:rPr>
        <w:t>–</w:t>
      </w:r>
      <w:r w:rsidRPr="000E6E53">
        <w:rPr>
          <w:rFonts w:ascii="Times New Roman" w:hAnsi="Times New Roman" w:cs="Times New Roman"/>
          <w:sz w:val="24"/>
          <w:szCs w:val="24"/>
        </w:rPr>
        <w:t xml:space="preserve"> </w:t>
      </w:r>
      <w:proofErr w:type="spellStart"/>
      <w:r w:rsidRPr="000E6E53">
        <w:rPr>
          <w:rFonts w:ascii="Times New Roman" w:hAnsi="Times New Roman" w:cs="Times New Roman"/>
          <w:sz w:val="24"/>
          <w:szCs w:val="24"/>
        </w:rPr>
        <w:t>Very</w:t>
      </w:r>
      <w:proofErr w:type="spellEnd"/>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High Digital </w:t>
      </w:r>
      <w:proofErr w:type="spellStart"/>
      <w:r w:rsidRPr="000E6E53">
        <w:rPr>
          <w:rFonts w:ascii="Times New Roman" w:hAnsi="Times New Roman" w:cs="Times New Roman"/>
          <w:sz w:val="24"/>
          <w:szCs w:val="24"/>
        </w:rPr>
        <w:t>Subscriber</w:t>
      </w:r>
      <w:proofErr w:type="spellEnd"/>
      <w:r w:rsidRPr="000E6E53">
        <w:rPr>
          <w:rFonts w:ascii="Times New Roman" w:hAnsi="Times New Roman" w:cs="Times New Roman"/>
          <w:sz w:val="24"/>
          <w:szCs w:val="24"/>
        </w:rPr>
        <w:t xml:space="preserve"> Line e FTTH </w:t>
      </w:r>
      <w:r w:rsidR="004B2796" w:rsidRPr="000E6E53">
        <w:rPr>
          <w:rFonts w:ascii="Times New Roman" w:hAnsi="Times New Roman" w:cs="Times New Roman"/>
          <w:sz w:val="24"/>
          <w:szCs w:val="24"/>
        </w:rPr>
        <w:t>–</w:t>
      </w:r>
      <w:r w:rsidRPr="000E6E53">
        <w:rPr>
          <w:rFonts w:ascii="Times New Roman" w:hAnsi="Times New Roman" w:cs="Times New Roman"/>
          <w:sz w:val="24"/>
          <w:szCs w:val="24"/>
        </w:rPr>
        <w:t xml:space="preserve"> </w:t>
      </w:r>
      <w:proofErr w:type="spellStart"/>
      <w:r w:rsidRPr="000E6E53">
        <w:rPr>
          <w:rFonts w:ascii="Times New Roman" w:hAnsi="Times New Roman" w:cs="Times New Roman"/>
          <w:sz w:val="24"/>
          <w:szCs w:val="24"/>
        </w:rPr>
        <w:t>Fiber</w:t>
      </w:r>
      <w:proofErr w:type="spellEnd"/>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to the Home in primo luogo) che bilanciano la</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riduzione degli altri servizi all’ingrosso; nel secondo</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la flessione è determinata, in particolare,</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dalla riduzione delle entrate da servizi di terminazione</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per chiamate da altre reti nazionali fisse</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e mobili (-20% circa).</w:t>
      </w:r>
    </w:p>
    <w:p w14:paraId="72D3E00B" w14:textId="574ABC05" w:rsidR="00BF1BCE" w:rsidRPr="000E6E53" w:rsidRDefault="00BF1BCE" w:rsidP="004B2796">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Gli investimenti in infrastrutture di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rete si riducono del 7,3% passando</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da 7,49 a 6,95 miliardi di euro. Anche in</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questo caso è possibile osservare differenti dinamiche:</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nella rete fissa (-4,2%) gli investimenti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w:t>
      </w:r>
      <w:r w:rsidRPr="000E6E53">
        <w:rPr>
          <w:rFonts w:ascii="Times New Roman" w:hAnsi="Times New Roman" w:cs="Times New Roman"/>
          <w:i/>
          <w:iCs/>
          <w:sz w:val="24"/>
          <w:szCs w:val="24"/>
        </w:rPr>
        <w:t xml:space="preserve">incumbent </w:t>
      </w:r>
      <w:r w:rsidRPr="000E6E53">
        <w:rPr>
          <w:rFonts w:ascii="Times New Roman" w:hAnsi="Times New Roman" w:cs="Times New Roman"/>
          <w:sz w:val="24"/>
          <w:szCs w:val="24"/>
        </w:rPr>
        <w:t>subiscono una contrazione significativa</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(-25,4%) laddove, per gli altri operatori considerati, si registra una crescita del 5,6%.</w:t>
      </w:r>
    </w:p>
    <w:p w14:paraId="158B6EF2" w14:textId="3DFC3F37" w:rsidR="00BF1BCE" w:rsidRPr="000E6E53" w:rsidRDefault="00BF1BCE" w:rsidP="00085F3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Tale ultimo risultato, come già segnalato lo scorso</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anno, è in larga parte imputabile ai processi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di infrastrutturazione necessari per l’offerta dei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servizi </w:t>
      </w:r>
      <w:proofErr w:type="spellStart"/>
      <w:r w:rsidRPr="000E6E53">
        <w:rPr>
          <w:rFonts w:ascii="Times New Roman" w:hAnsi="Times New Roman" w:cs="Times New Roman"/>
          <w:i/>
          <w:iCs/>
          <w:sz w:val="24"/>
          <w:szCs w:val="24"/>
        </w:rPr>
        <w:t>ultrabroadband</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con un volume di investimenti</w:t>
      </w:r>
      <w:r w:rsidR="004B2796" w:rsidRPr="000E6E53">
        <w:rPr>
          <w:rFonts w:ascii="Times New Roman" w:hAnsi="Times New Roman" w:cs="Times New Roman"/>
          <w:sz w:val="24"/>
          <w:szCs w:val="24"/>
        </w:rPr>
        <w:t xml:space="preserve"> </w:t>
      </w:r>
      <w:r w:rsidRPr="000E6E53">
        <w:rPr>
          <w:rFonts w:ascii="Times New Roman" w:hAnsi="Times New Roman" w:cs="Times New Roman"/>
          <w:sz w:val="24"/>
          <w:szCs w:val="24"/>
        </w:rPr>
        <w:t>impegnati pari a circa 3,49 miliardi di euro</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2022, il più elevato nel periodo considerato.</w:t>
      </w:r>
    </w:p>
    <w:p w14:paraId="1DA645DB" w14:textId="599017B1" w:rsidR="00BF1BCE" w:rsidRPr="000E6E53" w:rsidRDefault="00BF1BCE" w:rsidP="00085F3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La rete mobile conosce invece una maggiore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flessione (-12,8%) con gli investimenti di TIM in</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calo del 21% a fronte di una riduzione del 9,6%</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osservabile per gli altri operatori.</w:t>
      </w:r>
    </w:p>
    <w:p w14:paraId="02B95F9F" w14:textId="451434E5" w:rsidR="00BF1BCE" w:rsidRPr="000E6E53" w:rsidRDefault="00BF1BCE" w:rsidP="00085F3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 processi di riorganizzazione aziendale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hanno prodotto anche lo scorso anno una riduzione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(che ha riguardato prevalentemente TIM)</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degli addetti diretti del settore, stimabile in circa</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1.000 unità, per un totale di circa 56.000 addetti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a fine 2022.</w:t>
      </w:r>
    </w:p>
    <w:p w14:paraId="269F8362" w14:textId="625EC9E2" w:rsidR="00BF1BCE" w:rsidRPr="000E6E53" w:rsidRDefault="00BF1BCE" w:rsidP="00085F3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Quanto sopra determina uno scenario</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competitivo in evoluzione, nel</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quale è possibile apprezzare una diminuzione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della quota di mercato di TIM (39,9%, in calo di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1,3 punti percentuali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rispetto al 2021) e delle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quote di Vodafone e Wind Tre (rispettivamente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di 0,7 e 0,2 punti percentuali). Crescono invece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Fastweb che, grazie alla progressiva integrazione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dei servizi fissi e mobili, sale all’11,3% (+0,8</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punti percentuali), Iliad, che ha fatto il suo ingresso</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anche nella rete fissa con offerte </w:t>
      </w:r>
      <w:proofErr w:type="spellStart"/>
      <w:r w:rsidRPr="000E6E53">
        <w:rPr>
          <w:rFonts w:ascii="Times New Roman" w:hAnsi="Times New Roman" w:cs="Times New Roman"/>
          <w:i/>
          <w:iCs/>
          <w:sz w:val="24"/>
          <w:szCs w:val="24"/>
        </w:rPr>
        <w:t>ultrabroadband</w:t>
      </w:r>
      <w:proofErr w:type="spellEnd"/>
      <w:r w:rsidR="00085F3A"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con 9,5 milioni di utenti mobili a</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fine 2022 e una quota di mercato pari al 3,5%</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(+0,7 punti percentuali), e Postepay (1,6% del</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mercato nel 2022).</w:t>
      </w:r>
    </w:p>
    <w:p w14:paraId="20E7769B" w14:textId="18309268" w:rsidR="00BF1BCE" w:rsidRPr="000E6E53" w:rsidRDefault="00BF1BCE" w:rsidP="00085F3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Il mercato delle comunicazioni elettroniche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offre tuttavia opportunità anche per le imprese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di minori dimensioni che rappresentano,</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loro complesso, l’8,2% del mercato, con un</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incremento di </w:t>
      </w:r>
      <w:r w:rsidRPr="000E6E53">
        <w:rPr>
          <w:rFonts w:ascii="Times New Roman" w:hAnsi="Times New Roman" w:cs="Times New Roman"/>
          <w:sz w:val="24"/>
          <w:szCs w:val="24"/>
        </w:rPr>
        <w:lastRenderedPageBreak/>
        <w:t>0,7 punti percentuali rispetto al</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2021. Tra queste, le imprese con ricavi compresi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tra 100 e 200 milioni circa, che superano il 5% del</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mercato con introiti complessivi per 1,16 miliardi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(+9,4%), oltre ad operatori più piccoli (500 milioni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circa di ricavi nel periodo), per i quali non si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registrano variazioni di rilievo.</w:t>
      </w:r>
    </w:p>
    <w:p w14:paraId="36B43CCE" w14:textId="3423BB85" w:rsidR="00BF1BCE" w:rsidRPr="000E6E53" w:rsidRDefault="00BF1BCE" w:rsidP="00BF1BCE">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E6E53">
        <w:rPr>
          <w:rFonts w:ascii="Times New Roman" w:hAnsi="Times New Roman" w:cs="Times New Roman"/>
          <w:sz w:val="24"/>
          <w:szCs w:val="24"/>
        </w:rPr>
        <w:t>Il volume di affari delle imprese focalizzate,</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in particolare, sull’offerta di servizi </w:t>
      </w:r>
      <w:proofErr w:type="spellStart"/>
      <w:r w:rsidRPr="000E6E53">
        <w:rPr>
          <w:rFonts w:ascii="Times New Roman" w:hAnsi="Times New Roman" w:cs="Times New Roman"/>
          <w:i/>
          <w:iCs/>
          <w:sz w:val="24"/>
          <w:szCs w:val="24"/>
        </w:rPr>
        <w:t>Fixed</w:t>
      </w:r>
      <w:proofErr w:type="spellEnd"/>
      <w:r w:rsidR="00085F3A" w:rsidRPr="000E6E53">
        <w:rPr>
          <w:rFonts w:ascii="Times New Roman" w:hAnsi="Times New Roman" w:cs="Times New Roman"/>
          <w:i/>
          <w:iCs/>
          <w:sz w:val="24"/>
          <w:szCs w:val="24"/>
        </w:rPr>
        <w:t xml:space="preserve"> </w:t>
      </w:r>
      <w:r w:rsidRPr="000E6E53">
        <w:rPr>
          <w:rFonts w:ascii="Times New Roman" w:hAnsi="Times New Roman" w:cs="Times New Roman"/>
          <w:i/>
          <w:iCs/>
          <w:sz w:val="24"/>
          <w:szCs w:val="24"/>
        </w:rPr>
        <w:t xml:space="preserve">Wireless Access </w:t>
      </w:r>
      <w:r w:rsidRPr="000E6E53">
        <w:rPr>
          <w:rFonts w:ascii="Times New Roman" w:hAnsi="Times New Roman" w:cs="Times New Roman"/>
          <w:sz w:val="24"/>
          <w:szCs w:val="24"/>
        </w:rPr>
        <w:t>(FWA) è stimato superiore ai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500 milioni (+25%), mentre quello degli operatori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mobili virtuali ha superato gli 800 milioni</w:t>
      </w:r>
      <w:r w:rsidR="00085F3A" w:rsidRPr="000E6E53">
        <w:rPr>
          <w:rFonts w:ascii="Times New Roman" w:hAnsi="Times New Roman" w:cs="Times New Roman"/>
          <w:sz w:val="24"/>
          <w:szCs w:val="24"/>
        </w:rPr>
        <w:t xml:space="preserve"> </w:t>
      </w:r>
      <w:r w:rsidRPr="000E6E53">
        <w:rPr>
          <w:rFonts w:ascii="Times New Roman" w:hAnsi="Times New Roman" w:cs="Times New Roman"/>
          <w:sz w:val="24"/>
          <w:szCs w:val="24"/>
        </w:rPr>
        <w:t>(+5,7%).</w:t>
      </w:r>
    </w:p>
    <w:p w14:paraId="7542B334" w14:textId="77777777" w:rsidR="000654D9" w:rsidRPr="000E6E53" w:rsidRDefault="000654D9" w:rsidP="00A1507A">
      <w:pPr>
        <w:autoSpaceDE w:val="0"/>
        <w:autoSpaceDN w:val="0"/>
        <w:adjustRightInd w:val="0"/>
        <w:spacing w:after="0" w:line="240" w:lineRule="auto"/>
        <w:ind w:firstLine="709"/>
        <w:jc w:val="both"/>
        <w:rPr>
          <w:rFonts w:ascii="Times New Roman" w:hAnsi="Times New Roman" w:cs="Times New Roman"/>
          <w:sz w:val="24"/>
          <w:szCs w:val="24"/>
        </w:rPr>
      </w:pPr>
    </w:p>
    <w:p w14:paraId="2D10F6B9" w14:textId="77777777" w:rsidR="00DD6D94" w:rsidRPr="000E6E53" w:rsidRDefault="00DD6D94" w:rsidP="00A1507A">
      <w:pPr>
        <w:autoSpaceDE w:val="0"/>
        <w:autoSpaceDN w:val="0"/>
        <w:adjustRightInd w:val="0"/>
        <w:spacing w:after="0" w:line="240" w:lineRule="auto"/>
        <w:ind w:firstLine="709"/>
        <w:jc w:val="both"/>
        <w:rPr>
          <w:rFonts w:ascii="Times New Roman" w:hAnsi="Times New Roman" w:cs="Times New Roman"/>
          <w:sz w:val="24"/>
          <w:szCs w:val="24"/>
        </w:rPr>
      </w:pPr>
    </w:p>
    <w:p w14:paraId="207568F6" w14:textId="4B8A27C9" w:rsidR="000002F7" w:rsidRPr="000E6E53" w:rsidRDefault="000002F7" w:rsidP="00213BAD">
      <w:pPr>
        <w:spacing w:after="0" w:line="240" w:lineRule="auto"/>
        <w:ind w:firstLine="709"/>
        <w:jc w:val="both"/>
        <w:rPr>
          <w:rFonts w:ascii="Times New Roman" w:eastAsia="Calibri" w:hAnsi="Times New Roman" w:cs="Times New Roman"/>
          <w:i/>
          <w:sz w:val="24"/>
          <w:szCs w:val="24"/>
        </w:rPr>
      </w:pPr>
      <w:r w:rsidRPr="000E6E53">
        <w:rPr>
          <w:rFonts w:ascii="Times New Roman" w:eastAsia="Calibri" w:hAnsi="Times New Roman" w:cs="Times New Roman"/>
          <w:i/>
          <w:sz w:val="24"/>
          <w:szCs w:val="24"/>
        </w:rPr>
        <w:t>I mercati di rete fissa</w:t>
      </w:r>
    </w:p>
    <w:p w14:paraId="6C224F36" w14:textId="77777777" w:rsidR="00A1507A" w:rsidRPr="000E6E53" w:rsidRDefault="00A1507A" w:rsidP="00213BAD">
      <w:pPr>
        <w:spacing w:after="0" w:line="240" w:lineRule="auto"/>
        <w:ind w:firstLine="709"/>
        <w:jc w:val="both"/>
        <w:rPr>
          <w:rFonts w:ascii="Times New Roman" w:eastAsia="Calibri" w:hAnsi="Times New Roman" w:cs="Times New Roman"/>
          <w:i/>
          <w:sz w:val="24"/>
          <w:szCs w:val="24"/>
        </w:rPr>
      </w:pPr>
    </w:p>
    <w:p w14:paraId="2F9A55A6" w14:textId="64C2AA0D" w:rsidR="00F702B0" w:rsidRPr="000E6E53" w:rsidRDefault="00F702B0" w:rsidP="00DE3E1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Nel corso del 2022 i ricavi </w:t>
      </w:r>
      <w:r w:rsidRPr="000E6E53">
        <w:rPr>
          <w:rFonts w:ascii="Times New Roman" w:hAnsi="Times New Roman" w:cs="Times New Roman"/>
          <w:i/>
          <w:iCs/>
          <w:sz w:val="24"/>
          <w:szCs w:val="24"/>
        </w:rPr>
        <w:t xml:space="preserve">retail </w:t>
      </w:r>
      <w:r w:rsidRPr="000E6E53">
        <w:rPr>
          <w:rFonts w:ascii="Times New Roman" w:hAnsi="Times New Roman" w:cs="Times New Roman"/>
          <w:sz w:val="24"/>
          <w:szCs w:val="24"/>
        </w:rPr>
        <w:t>da rete fissa</w:t>
      </w:r>
      <w:r w:rsidR="003C4217">
        <w:rPr>
          <w:rStyle w:val="Rimandonotaapidipagina"/>
          <w:rFonts w:ascii="Times New Roman" w:hAnsi="Times New Roman" w:cs="Times New Roman"/>
          <w:sz w:val="24"/>
          <w:szCs w:val="24"/>
        </w:rPr>
        <w:footnoteReference w:id="1"/>
      </w:r>
      <w:r w:rsidRPr="000E6E53">
        <w:rPr>
          <w:rFonts w:ascii="Times New Roman" w:hAnsi="Times New Roman" w:cs="Times New Roman"/>
          <w:sz w:val="24"/>
          <w:szCs w:val="24"/>
        </w:rPr>
        <w:t xml:space="preserve"> hanno evidenziato una riduzione complessiva dell’1,9%, seppur con risultati differenti nei diversi segmenti considerati: gli introiti da servizi dati registrano una flessione marginale (-0,8%) rimanendo intorno ai 6,8 miliardi di euro, mentre quelli derivanti dai servizi voce hanno ulteriormente accentuato la propria condizione di marginalità (-12,4%) arrivando a rappresentare circa il 16,5% delle risorse del segmento di mercato in esame (sfioravano il 30% nel 2018)</w:t>
      </w:r>
      <w:r w:rsidR="003C4217">
        <w:rPr>
          <w:rFonts w:ascii="Times New Roman" w:hAnsi="Times New Roman" w:cs="Times New Roman"/>
          <w:sz w:val="24"/>
          <w:szCs w:val="24"/>
        </w:rPr>
        <w:t>.</w:t>
      </w:r>
    </w:p>
    <w:p w14:paraId="45E1DA5C" w14:textId="10686286" w:rsidR="00F702B0"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L’andamento dei ricavi sopradescritto è</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conseguenza della crescita degli abbonamenti</w:t>
      </w:r>
      <w:r w:rsidR="00914D9E" w:rsidRPr="000E6E53">
        <w:rPr>
          <w:rFonts w:ascii="Times New Roman" w:hAnsi="Times New Roman" w:cs="Times New Roman"/>
          <w:sz w:val="24"/>
          <w:szCs w:val="24"/>
        </w:rPr>
        <w:t xml:space="preserve"> </w:t>
      </w:r>
      <w:r w:rsidRPr="000E6E53">
        <w:rPr>
          <w:rFonts w:ascii="Times New Roman" w:hAnsi="Times New Roman" w:cs="Times New Roman"/>
          <w:i/>
          <w:iCs/>
          <w:sz w:val="24"/>
          <w:szCs w:val="24"/>
        </w:rPr>
        <w:t xml:space="preserve">broadband, </w:t>
      </w:r>
      <w:r w:rsidRPr="000E6E53">
        <w:rPr>
          <w:rFonts w:ascii="Times New Roman" w:hAnsi="Times New Roman" w:cs="Times New Roman"/>
          <w:sz w:val="24"/>
          <w:szCs w:val="24"/>
        </w:rPr>
        <w:t>la cui consistenza media ha raggiunto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lo scorso anno 18,6 milioni di unità</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(+1,1%) e, in particolare, della progressiva diffusione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degli abbonamenti a servizi di accesso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caratterizzati da maggiori velocità di connessione,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i cui prezzi unitari sono leggermente superiori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alla media</w:t>
      </w:r>
      <w:r w:rsidR="00914D9E" w:rsidRPr="000E6E53">
        <w:rPr>
          <w:rFonts w:ascii="Times New Roman" w:hAnsi="Times New Roman" w:cs="Times New Roman"/>
          <w:sz w:val="24"/>
          <w:szCs w:val="24"/>
        </w:rPr>
        <w:t>.</w:t>
      </w:r>
    </w:p>
    <w:p w14:paraId="23333F95" w14:textId="62E9A773" w:rsidR="00F702B0" w:rsidRPr="000E6E53" w:rsidRDefault="00F702B0" w:rsidP="00F97B66">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Al riguardo, si stima che i ricavi relativi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 linee commercializzate per velocità pari o superiori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 100 Mbit/s siano cresciuti nel 2022 di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oltre 330 milioni di euro (+8,0%), superando largamente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il 70% dei complessivi ricavi </w:t>
      </w:r>
      <w:r w:rsidRPr="000E6E53">
        <w:rPr>
          <w:rFonts w:ascii="Times New Roman" w:hAnsi="Times New Roman" w:cs="Times New Roman"/>
          <w:i/>
          <w:iCs/>
          <w:sz w:val="24"/>
          <w:szCs w:val="24"/>
        </w:rPr>
        <w:t xml:space="preserve">retail </w:t>
      </w:r>
      <w:r w:rsidRPr="000E6E53">
        <w:rPr>
          <w:rFonts w:ascii="Times New Roman" w:hAnsi="Times New Roman" w:cs="Times New Roman"/>
          <w:sz w:val="24"/>
          <w:szCs w:val="24"/>
        </w:rPr>
        <w:t>da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collegamenti a larga banda (6,12 miliardi di euro</w:t>
      </w:r>
      <w:r w:rsidR="00F97B66">
        <w:rPr>
          <w:rFonts w:ascii="Times New Roman" w:hAnsi="Times New Roman" w:cs="Times New Roman"/>
          <w:sz w:val="24"/>
          <w:szCs w:val="24"/>
        </w:rPr>
        <w:t xml:space="preserve"> </w:t>
      </w:r>
      <w:r w:rsidRPr="000E6E53">
        <w:rPr>
          <w:rFonts w:ascii="Times New Roman" w:hAnsi="Times New Roman" w:cs="Times New Roman"/>
          <w:sz w:val="24"/>
          <w:szCs w:val="24"/>
        </w:rPr>
        <w:t>nel 2022).</w:t>
      </w:r>
    </w:p>
    <w:p w14:paraId="59790A5D" w14:textId="2FAFD668" w:rsidR="00914D9E"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Le nuove modalità di comunicazione, di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organizzazione del lavoro e di consumo di media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w:t>
      </w:r>
      <w:r w:rsidRPr="000E6E53">
        <w:rPr>
          <w:rFonts w:ascii="Times New Roman" w:hAnsi="Times New Roman" w:cs="Times New Roman"/>
          <w:i/>
          <w:iCs/>
          <w:sz w:val="24"/>
          <w:szCs w:val="24"/>
        </w:rPr>
        <w:t xml:space="preserve">streaming </w:t>
      </w:r>
      <w:r w:rsidRPr="000E6E53">
        <w:rPr>
          <w:rFonts w:ascii="Times New Roman" w:hAnsi="Times New Roman" w:cs="Times New Roman"/>
          <w:sz w:val="24"/>
          <w:szCs w:val="24"/>
        </w:rPr>
        <w:t>in particolare), che - seppur già</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in atto da tempo, hanno caratterizzato la fase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pandemica</w:t>
      </w:r>
      <w:r w:rsidR="00F97B66">
        <w:rPr>
          <w:rFonts w:ascii="Times New Roman" w:hAnsi="Times New Roman" w:cs="Times New Roman"/>
          <w:sz w:val="24"/>
          <w:szCs w:val="24"/>
        </w:rPr>
        <w:t xml:space="preserve"> </w:t>
      </w:r>
      <w:r w:rsidRPr="000E6E53">
        <w:rPr>
          <w:rFonts w:ascii="Times New Roman" w:hAnsi="Times New Roman" w:cs="Times New Roman"/>
          <w:sz w:val="24"/>
          <w:szCs w:val="24"/>
        </w:rPr>
        <w:t>-</w:t>
      </w:r>
      <w:r w:rsidR="00F97B66">
        <w:rPr>
          <w:rFonts w:ascii="Times New Roman" w:hAnsi="Times New Roman" w:cs="Times New Roman"/>
          <w:sz w:val="24"/>
          <w:szCs w:val="24"/>
        </w:rPr>
        <w:t xml:space="preserve"> </w:t>
      </w:r>
      <w:r w:rsidRPr="000E6E53">
        <w:rPr>
          <w:rFonts w:ascii="Times New Roman" w:hAnsi="Times New Roman" w:cs="Times New Roman"/>
          <w:sz w:val="24"/>
          <w:szCs w:val="24"/>
        </w:rPr>
        <w:t>hanno prodotto mutamenti di natura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strutturale che trovano conferma nelle ultime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evidenze disponibili. </w:t>
      </w:r>
    </w:p>
    <w:p w14:paraId="0AEED349" w14:textId="77777777" w:rsidR="00914D9E"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Tra il 2013 ed il 2022</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il numero delle linee a larga banda in rapporto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 quelle complessive è passato dal 66,4% al</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93,6%, e, tra queste, quelle con maggiore velocità</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di connessione (FTTC-FTTH) sono cresciute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dall’1,6% al 69,1%. Anche il traffico dati ha registrato un incremento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assai rilevante. Nel periodo 2013-2022 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volumi sono decuplicati, passando da poco meno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di 5.000 ad oltre 49.000 petabyte; è interessante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notare al riguardo come la differenza tra i volumi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di traffico nei sette anni trascorsi tra il 2013 e il</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2019, l’anno precedente alla pandemia (poco più</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di 21.000 petabyte), sia inferiore in valore assoluto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alla crescita osservabile nel successivo triennio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2020-2022 (oltre 23.000 petabyte). </w:t>
      </w:r>
    </w:p>
    <w:p w14:paraId="4E87A233" w14:textId="4AAD6CE0" w:rsidR="00F702B0"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Corrispondentemente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i consumi unitari mensili per linea </w:t>
      </w:r>
      <w:r w:rsidRPr="000E6E53">
        <w:rPr>
          <w:rFonts w:ascii="Times New Roman" w:hAnsi="Times New Roman" w:cs="Times New Roman"/>
          <w:i/>
          <w:iCs/>
          <w:sz w:val="24"/>
          <w:szCs w:val="24"/>
        </w:rPr>
        <w:t>broadband</w:t>
      </w:r>
      <w:r w:rsidR="00914D9E"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sono passati dai circa 30GB stimabili per</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il 2013 agli oltre 230 del 2022.</w:t>
      </w:r>
    </w:p>
    <w:p w14:paraId="5780C4A9" w14:textId="3AB774CC" w:rsidR="00F702B0"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Quanto alla diffusione dei servizi a larga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banda sul territorio italiano, a fine 2022 si stima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che gli accessi </w:t>
      </w:r>
      <w:r w:rsidRPr="000E6E53">
        <w:rPr>
          <w:rFonts w:ascii="Times New Roman" w:hAnsi="Times New Roman" w:cs="Times New Roman"/>
          <w:i/>
          <w:iCs/>
          <w:sz w:val="24"/>
          <w:szCs w:val="24"/>
        </w:rPr>
        <w:t xml:space="preserve">broadband </w:t>
      </w:r>
      <w:r w:rsidRPr="000E6E53">
        <w:rPr>
          <w:rFonts w:ascii="Times New Roman" w:hAnsi="Times New Roman" w:cs="Times New Roman"/>
          <w:sz w:val="24"/>
          <w:szCs w:val="24"/>
        </w:rPr>
        <w:t xml:space="preserve">e </w:t>
      </w:r>
      <w:proofErr w:type="spellStart"/>
      <w:r w:rsidRPr="000E6E53">
        <w:rPr>
          <w:rFonts w:ascii="Times New Roman" w:hAnsi="Times New Roman" w:cs="Times New Roman"/>
          <w:i/>
          <w:iCs/>
          <w:sz w:val="24"/>
          <w:szCs w:val="24"/>
        </w:rPr>
        <w:t>ultrabroadband</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residenziali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e affari siano pari a 18,6 milioni. Una</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quota pari all’81% (77% nel 2021) degli accessi</w:t>
      </w:r>
      <w:r w:rsidR="00914D9E" w:rsidRPr="000E6E53">
        <w:rPr>
          <w:rFonts w:ascii="Times New Roman" w:hAnsi="Times New Roman" w:cs="Times New Roman"/>
          <w:sz w:val="24"/>
          <w:szCs w:val="24"/>
        </w:rPr>
        <w:t xml:space="preserve"> </w:t>
      </w:r>
      <w:proofErr w:type="spellStart"/>
      <w:r w:rsidRPr="000E6E53">
        <w:rPr>
          <w:rFonts w:ascii="Times New Roman" w:hAnsi="Times New Roman" w:cs="Times New Roman"/>
          <w:i/>
          <w:iCs/>
          <w:sz w:val="24"/>
          <w:szCs w:val="24"/>
        </w:rPr>
        <w:t>ultrabroadband</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è commercializzata con velocità</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pari o superiore a 30 Mbit/s mentre il 68% (61,6%</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2021) supera i 100 Mbit/s.</w:t>
      </w:r>
    </w:p>
    <w:p w14:paraId="43A9F505" w14:textId="2CCB99DB" w:rsidR="00F702B0" w:rsidRPr="000E6E53" w:rsidRDefault="00F702B0" w:rsidP="00914D9E">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Complessivamente si stima siano disponibili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31,6 linee ogni 100 abitanti: tale rapporto</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risulta pari a 25,6 linee per 100 abitanti per le</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connessioni commercializzate con capacità maggiori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di 30 </w:t>
      </w:r>
      <w:r w:rsidRPr="000E6E53">
        <w:rPr>
          <w:rFonts w:ascii="Times New Roman" w:hAnsi="Times New Roman" w:cs="Times New Roman"/>
          <w:sz w:val="24"/>
          <w:szCs w:val="24"/>
        </w:rPr>
        <w:lastRenderedPageBreak/>
        <w:t>Mbit/s, (24,4 nel 2021), e a 21,5 (19,5</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2021) con riguardo alle linee con velocità superiori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a 100 Mbit/s13.</w:t>
      </w:r>
    </w:p>
    <w:p w14:paraId="1550D270" w14:textId="1CA5F6C8"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Permangono, come già evidenziato in</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passato, non marginali differenze territoriali</w:t>
      </w:r>
      <w:r w:rsidR="00914D9E" w:rsidRPr="000E6E53">
        <w:rPr>
          <w:rFonts w:ascii="Times New Roman" w:hAnsi="Times New Roman" w:cs="Times New Roman"/>
          <w:sz w:val="24"/>
          <w:szCs w:val="24"/>
        </w:rPr>
        <w:t xml:space="preserve"> </w:t>
      </w:r>
      <w:r w:rsidRPr="000E6E53">
        <w:rPr>
          <w:rFonts w:ascii="Times New Roman" w:hAnsi="Times New Roman" w:cs="Times New Roman"/>
          <w:sz w:val="24"/>
          <w:szCs w:val="24"/>
        </w:rPr>
        <w:t>nella penetrazione di tali servizi,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diffusione su base provinciale dei servizi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accesso a banda larga e ultra-larga presso 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famiglie italiane</w:t>
      </w:r>
      <w:r w:rsidR="006C77E7" w:rsidRPr="000E6E53">
        <w:rPr>
          <w:rFonts w:ascii="Times New Roman" w:hAnsi="Times New Roman" w:cs="Times New Roman"/>
          <w:sz w:val="24"/>
          <w:szCs w:val="24"/>
        </w:rPr>
        <w:t>)</w:t>
      </w:r>
      <w:r w:rsidRPr="000E6E53">
        <w:rPr>
          <w:rFonts w:ascii="Times New Roman" w:hAnsi="Times New Roman" w:cs="Times New Roman"/>
          <w:sz w:val="24"/>
          <w:szCs w:val="24"/>
        </w:rPr>
        <w:t>.</w:t>
      </w:r>
    </w:p>
    <w:p w14:paraId="74290DC9" w14:textId="2514C3C0"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Si conferma pertanto il divario strutturale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esistente tra le diverse </w:t>
      </w:r>
      <w:proofErr w:type="gramStart"/>
      <w:r w:rsidRPr="000E6E53">
        <w:rPr>
          <w:rFonts w:ascii="Times New Roman" w:hAnsi="Times New Roman" w:cs="Times New Roman"/>
          <w:sz w:val="24"/>
          <w:szCs w:val="24"/>
        </w:rPr>
        <w:t>macro-regioni</w:t>
      </w:r>
      <w:proofErr w:type="gramEnd"/>
      <w:r w:rsidRPr="000E6E53">
        <w:rPr>
          <w:rFonts w:ascii="Times New Roman" w:hAnsi="Times New Roman" w:cs="Times New Roman"/>
          <w:sz w:val="24"/>
          <w:szCs w:val="24"/>
        </w:rPr>
        <w:t xml:space="preserve"> considerate,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il Nord-Ovest e il Centro in cui la diffusione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degli accessi con velocità maggiori di 100</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Mbit/s è superiore rispetto alla media nazionale (di circa il 10%), a fronte delle aree del Sud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delle Isole che si pongono su valori di gran lunga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inferiori.</w:t>
      </w:r>
    </w:p>
    <w:p w14:paraId="5191FDA1" w14:textId="1607521B"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Considerando solo la diffusione delle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tecnologie qualitativamente migliori in termini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velocità di connessione (linee VDSL, FTTH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FWA), tale divario si acuisce ulteriormente, come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confermato anche dal </w:t>
      </w:r>
      <w:r w:rsidRPr="000E6E53">
        <w:rPr>
          <w:rFonts w:ascii="Times New Roman" w:hAnsi="Times New Roman" w:cs="Times New Roman"/>
          <w:i/>
          <w:iCs/>
          <w:sz w:val="24"/>
          <w:szCs w:val="24"/>
        </w:rPr>
        <w:t xml:space="preserve">ranking </w:t>
      </w:r>
      <w:r w:rsidRPr="000E6E53">
        <w:rPr>
          <w:rFonts w:ascii="Times New Roman" w:hAnsi="Times New Roman" w:cs="Times New Roman"/>
          <w:sz w:val="24"/>
          <w:szCs w:val="24"/>
        </w:rPr>
        <w:t>delle dieci province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rispettivamente con maggiore e minore diffusione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tra le famiglie della banda ultra-larga,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la provincia di Milano che guida la classifica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(86,6%) e Isernia fanalino di coda (32,4%).</w:t>
      </w:r>
    </w:p>
    <w:p w14:paraId="3E331D27" w14:textId="6181127A"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Le evidenze sin qui illustrate mostrano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ancora una volta la necessità di integrare le politiche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di offerta (c.d. </w:t>
      </w:r>
      <w:proofErr w:type="spellStart"/>
      <w:r w:rsidRPr="000E6E53">
        <w:rPr>
          <w:rFonts w:ascii="Times New Roman" w:hAnsi="Times New Roman" w:cs="Times New Roman"/>
          <w:i/>
          <w:iCs/>
          <w:sz w:val="24"/>
          <w:szCs w:val="24"/>
        </w:rPr>
        <w:t>technology-push</w:t>
      </w:r>
      <w:proofErr w:type="spellEnd"/>
      <w:r w:rsidRPr="000E6E53">
        <w:rPr>
          <w:rFonts w:ascii="Times New Roman" w:hAnsi="Times New Roman" w:cs="Times New Roman"/>
          <w:sz w:val="24"/>
          <w:szCs w:val="24"/>
        </w:rPr>
        <w:t>) con interventi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dal lato della domanda (c.d. </w:t>
      </w:r>
      <w:r w:rsidRPr="000E6E53">
        <w:rPr>
          <w:rFonts w:ascii="Times New Roman" w:hAnsi="Times New Roman" w:cs="Times New Roman"/>
          <w:i/>
          <w:iCs/>
          <w:sz w:val="24"/>
          <w:szCs w:val="24"/>
        </w:rPr>
        <w:t>demand-pull</w:t>
      </w:r>
      <w:r w:rsidRPr="000E6E53">
        <w:rPr>
          <w:rFonts w:ascii="Times New Roman" w:hAnsi="Times New Roman" w:cs="Times New Roman"/>
          <w:sz w:val="24"/>
          <w:szCs w:val="24"/>
        </w:rPr>
        <w:t>)</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ai fini di una più uniforme diffusione dei servizi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disponibili attraverso la rete presso tutti i segmenti</w:t>
      </w:r>
      <w:r w:rsidR="006C77E7" w:rsidRPr="000E6E53">
        <w:rPr>
          <w:rFonts w:ascii="Times New Roman" w:hAnsi="Times New Roman" w:cs="Times New Roman"/>
          <w:sz w:val="24"/>
          <w:szCs w:val="24"/>
        </w:rPr>
        <w:t xml:space="preserve"> </w:t>
      </w:r>
      <w:proofErr w:type="gramStart"/>
      <w:r w:rsidRPr="000E6E53">
        <w:rPr>
          <w:rFonts w:ascii="Times New Roman" w:hAnsi="Times New Roman" w:cs="Times New Roman"/>
          <w:sz w:val="24"/>
          <w:szCs w:val="24"/>
        </w:rPr>
        <w:t>socio-economici</w:t>
      </w:r>
      <w:proofErr w:type="gramEnd"/>
      <w:r w:rsidRPr="000E6E53">
        <w:rPr>
          <w:rFonts w:ascii="Times New Roman" w:hAnsi="Times New Roman" w:cs="Times New Roman"/>
          <w:sz w:val="24"/>
          <w:szCs w:val="24"/>
        </w:rPr>
        <w:t xml:space="preserve"> della popolazione italiana,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obiettivo di non facile perseguimento, stante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anche il progressivo invecchiamento della popolazione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stessa. Dal punto di vista geografico, la distribuzione</w:t>
      </w:r>
    </w:p>
    <w:p w14:paraId="71ED2351" w14:textId="0E22DD68" w:rsidR="00F702B0" w:rsidRPr="000E6E53" w:rsidRDefault="00F702B0" w:rsidP="00F702B0">
      <w:pPr>
        <w:autoSpaceDE w:val="0"/>
        <w:autoSpaceDN w:val="0"/>
        <w:adjustRightInd w:val="0"/>
        <w:spacing w:after="0" w:line="240" w:lineRule="auto"/>
        <w:jc w:val="both"/>
        <w:rPr>
          <w:rFonts w:ascii="Times New Roman" w:hAnsi="Times New Roman" w:cs="Times New Roman"/>
          <w:sz w:val="24"/>
          <w:szCs w:val="24"/>
        </w:rPr>
      </w:pPr>
      <w:r w:rsidRPr="000E6E53">
        <w:rPr>
          <w:rFonts w:ascii="Times New Roman" w:hAnsi="Times New Roman" w:cs="Times New Roman"/>
          <w:sz w:val="24"/>
          <w:szCs w:val="24"/>
        </w:rPr>
        <w:t>territoriale delle linee secondo le tecnologie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accesso in fibra (FTTH), su rete mista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rame-fibra (VDSL), nonché su rete mista radio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(FWA), mostrano evidenze di particolare interesse,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anche in riferimento ai modelli di </w:t>
      </w:r>
      <w:r w:rsidRPr="000E6E53">
        <w:rPr>
          <w:rFonts w:ascii="Times New Roman" w:hAnsi="Times New Roman" w:cs="Times New Roman"/>
          <w:i/>
          <w:iCs/>
          <w:sz w:val="24"/>
          <w:szCs w:val="24"/>
        </w:rPr>
        <w:t>business</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adottati dalle principali imprese presenti sul mercato,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tratteggiando uno scenario di mercato </w:t>
      </w:r>
      <w:r w:rsidR="00D71E1C" w:rsidRPr="000E6E53">
        <w:rPr>
          <w:rFonts w:ascii="Times New Roman" w:hAnsi="Times New Roman" w:cs="Times New Roman"/>
          <w:sz w:val="24"/>
          <w:szCs w:val="24"/>
        </w:rPr>
        <w:t>assai dinamico</w:t>
      </w:r>
      <w:r w:rsidRPr="000E6E53">
        <w:rPr>
          <w:rFonts w:ascii="Times New Roman" w:hAnsi="Times New Roman" w:cs="Times New Roman"/>
          <w:sz w:val="24"/>
          <w:szCs w:val="24"/>
        </w:rPr>
        <w:t>, caratterizzato da un’elevata pressione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competitiva.</w:t>
      </w:r>
    </w:p>
    <w:p w14:paraId="248DEEC0" w14:textId="0E03058C"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A fine 2022, infatti, TIM, a fronte di una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quota del 40,0% di linee </w:t>
      </w:r>
      <w:r w:rsidRPr="000E6E53">
        <w:rPr>
          <w:rFonts w:ascii="Times New Roman" w:hAnsi="Times New Roman" w:cs="Times New Roman"/>
          <w:i/>
          <w:iCs/>
          <w:sz w:val="24"/>
          <w:szCs w:val="24"/>
        </w:rPr>
        <w:t xml:space="preserve">broadband </w:t>
      </w:r>
      <w:r w:rsidRPr="000E6E53">
        <w:rPr>
          <w:rFonts w:ascii="Times New Roman" w:hAnsi="Times New Roman" w:cs="Times New Roman"/>
          <w:sz w:val="24"/>
          <w:szCs w:val="24"/>
        </w:rPr>
        <w:t>e del 48,8%</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in termini di spesa complessiva degli utenti, rappresenta, in media, il 35,0% di linee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in tecnologia VDSL, FWA e FTTH, con un</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peso che, per pregressi motivi di presenza storica,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tende ad aumentare nel Centro (39,1%)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Meridione (35,9% nel Sud e 36,9% in Sicilia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Sardegna) grazie in particolare all’offerta di linee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VDSL.</w:t>
      </w:r>
    </w:p>
    <w:p w14:paraId="68412510" w14:textId="78A0DB8D"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Vodafone (16,8% delle linee </w:t>
      </w:r>
      <w:r w:rsidRPr="000E6E53">
        <w:rPr>
          <w:rFonts w:ascii="Times New Roman" w:hAnsi="Times New Roman" w:cs="Times New Roman"/>
          <w:i/>
          <w:iCs/>
          <w:sz w:val="24"/>
          <w:szCs w:val="24"/>
        </w:rPr>
        <w:t>broadband</w:t>
      </w:r>
      <w:r w:rsidRPr="000E6E53">
        <w:rPr>
          <w:rFonts w:ascii="Times New Roman" w:hAnsi="Times New Roman" w:cs="Times New Roman"/>
          <w:sz w:val="24"/>
          <w:szCs w:val="24"/>
        </w:rPr>
        <w:t>)</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presenta una più uniforme diffusione sul territorio italiano, con quote crescenti oltre la media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nel segmento FTTH nel Sud e nelle Isole (intorno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al 22%), e un’offerta di servizi FWA che tende 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rafforzarsi superando la soglia del 10% nelle regioni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del Nord-Est.</w:t>
      </w:r>
    </w:p>
    <w:p w14:paraId="1F4E77D8" w14:textId="475F5FBD"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Nel segmento delle linee FTTH, TIM con</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il 24,4% è leader di mercato, seguita da Fastweb</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il 20,4% (che tuttavia si conferma quale maggiore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operatore nel Nord-Ovest con il 28,6%),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da Wind Tre (20,3%) che registra una presenza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particolarmente rilevante nel Sud (23,8%) e nelle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Isole (26,7%).</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Tiscali ed Eolo si confermano quali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principali operatori nel segmento FWA, il primo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una forte presenza nel Sud (57,8%) e nelle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Isole (55,6%), il secondo, nell’Italia settentrionale,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con una quota di mercato non lontana dal</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50%. La crescente competizione in questo segmento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mercato è testimoniata anche dall’incremento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della quota complessiva di linee FWA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TIM e Vodafone pari al 26,2% contro il 18,3%</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del 2021.</w:t>
      </w:r>
    </w:p>
    <w:p w14:paraId="6838349F" w14:textId="7505518A"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Nel complesso, con riferimento ai ricavi</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generati dalla spesa complessiva di famiglie 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imprese per servizi da rete fissa, l’operatore TIM, pur se in flessione, detiene ancora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una quota del 48,8%, mentre cresce di 0,9</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punti percentuali Fastweb che rafforza la propria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posizione di secondo operatore di rete fissa con</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il 18,6%.</w:t>
      </w:r>
    </w:p>
    <w:p w14:paraId="6602D2A7" w14:textId="3AEB2A5C" w:rsidR="00F702B0" w:rsidRPr="000E6E53" w:rsidRDefault="00F702B0" w:rsidP="006C77E7">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Guardando al quadro competitivo per tipologia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di utenza, anche nel 2022 si osserva una</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maggiore concentrazione nel segmento residenziale</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rispetto a quello affari, con i primi quattro</w:t>
      </w:r>
      <w:r w:rsidR="006C77E7" w:rsidRPr="000E6E53">
        <w:rPr>
          <w:rFonts w:ascii="Times New Roman" w:hAnsi="Times New Roman" w:cs="Times New Roman"/>
          <w:sz w:val="24"/>
          <w:szCs w:val="24"/>
        </w:rPr>
        <w:t xml:space="preserve"> </w:t>
      </w:r>
      <w:r w:rsidRPr="000E6E53">
        <w:rPr>
          <w:rFonts w:ascii="Times New Roman" w:hAnsi="Times New Roman" w:cs="Times New Roman"/>
          <w:sz w:val="24"/>
          <w:szCs w:val="24"/>
        </w:rPr>
        <w:t>operatori che rappresentano l’87,6% del mercato.</w:t>
      </w:r>
    </w:p>
    <w:p w14:paraId="0BEEE140" w14:textId="60D9B4EB" w:rsidR="00F702B0" w:rsidRPr="000E6E53" w:rsidRDefault="00F702B0" w:rsidP="00F702B0">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E6E53">
        <w:rPr>
          <w:rFonts w:ascii="Times New Roman" w:hAnsi="Times New Roman" w:cs="Times New Roman"/>
          <w:sz w:val="24"/>
          <w:szCs w:val="24"/>
        </w:rPr>
        <w:t>Nel segmento affari, dove tradizionalmente</w:t>
      </w:r>
      <w:r w:rsidR="003C2B2E" w:rsidRPr="000E6E53">
        <w:rPr>
          <w:rFonts w:ascii="Times New Roman" w:hAnsi="Times New Roman" w:cs="Times New Roman"/>
          <w:sz w:val="24"/>
          <w:szCs w:val="24"/>
        </w:rPr>
        <w:t xml:space="preserve"> </w:t>
      </w:r>
      <w:r w:rsidRPr="000E6E53">
        <w:rPr>
          <w:rFonts w:ascii="Times New Roman" w:hAnsi="Times New Roman" w:cs="Times New Roman"/>
          <w:sz w:val="24"/>
          <w:szCs w:val="24"/>
        </w:rPr>
        <w:t>sono maggiormente presenti operatori di medie</w:t>
      </w:r>
      <w:r w:rsidR="003C2B2E" w:rsidRPr="000E6E53">
        <w:rPr>
          <w:rFonts w:ascii="Times New Roman" w:hAnsi="Times New Roman" w:cs="Times New Roman"/>
          <w:sz w:val="24"/>
          <w:szCs w:val="24"/>
        </w:rPr>
        <w:t xml:space="preserve"> </w:t>
      </w:r>
      <w:r w:rsidRPr="000E6E53">
        <w:rPr>
          <w:rFonts w:ascii="Times New Roman" w:hAnsi="Times New Roman" w:cs="Times New Roman"/>
          <w:sz w:val="24"/>
          <w:szCs w:val="24"/>
        </w:rPr>
        <w:t>dimensioni, va evidenziata la crescita di Fastweb</w:t>
      </w:r>
      <w:r w:rsidR="003C2B2E" w:rsidRPr="000E6E53">
        <w:rPr>
          <w:rFonts w:ascii="Times New Roman" w:hAnsi="Times New Roman" w:cs="Times New Roman"/>
          <w:sz w:val="24"/>
          <w:szCs w:val="24"/>
        </w:rPr>
        <w:t xml:space="preserve"> </w:t>
      </w:r>
      <w:r w:rsidRPr="000E6E53">
        <w:rPr>
          <w:rFonts w:ascii="Times New Roman" w:hAnsi="Times New Roman" w:cs="Times New Roman"/>
          <w:sz w:val="24"/>
          <w:szCs w:val="24"/>
        </w:rPr>
        <w:t>(+0,9 punti percentuali) che arriva a superare il</w:t>
      </w:r>
      <w:r w:rsidR="003C2B2E" w:rsidRPr="000E6E53">
        <w:rPr>
          <w:rFonts w:ascii="Times New Roman" w:hAnsi="Times New Roman" w:cs="Times New Roman"/>
          <w:sz w:val="24"/>
          <w:szCs w:val="24"/>
        </w:rPr>
        <w:t xml:space="preserve"> </w:t>
      </w:r>
      <w:r w:rsidRPr="000E6E53">
        <w:rPr>
          <w:rFonts w:ascii="Times New Roman" w:hAnsi="Times New Roman" w:cs="Times New Roman"/>
          <w:sz w:val="24"/>
          <w:szCs w:val="24"/>
        </w:rPr>
        <w:t>24%.</w:t>
      </w:r>
    </w:p>
    <w:p w14:paraId="6B86947E" w14:textId="2F73FF09" w:rsidR="002679F5" w:rsidRPr="000E6E53" w:rsidRDefault="002679F5" w:rsidP="00C82CD1">
      <w:pPr>
        <w:autoSpaceDE w:val="0"/>
        <w:autoSpaceDN w:val="0"/>
        <w:adjustRightInd w:val="0"/>
        <w:spacing w:after="0" w:line="240" w:lineRule="auto"/>
        <w:ind w:firstLine="708"/>
        <w:jc w:val="both"/>
        <w:rPr>
          <w:rFonts w:ascii="Times New Roman" w:hAnsi="Times New Roman" w:cs="Times New Roman"/>
          <w:sz w:val="24"/>
          <w:szCs w:val="24"/>
        </w:rPr>
      </w:pPr>
    </w:p>
    <w:p w14:paraId="61B6667B" w14:textId="77777777" w:rsidR="00C95676" w:rsidRPr="000E6E53" w:rsidRDefault="00C95676" w:rsidP="00C95676">
      <w:pPr>
        <w:spacing w:after="0" w:line="240" w:lineRule="auto"/>
        <w:ind w:firstLine="709"/>
        <w:jc w:val="both"/>
        <w:rPr>
          <w:rFonts w:ascii="Times New Roman" w:eastAsia="Calibri" w:hAnsi="Times New Roman" w:cs="Times New Roman"/>
          <w:sz w:val="24"/>
          <w:szCs w:val="24"/>
        </w:rPr>
      </w:pPr>
    </w:p>
    <w:p w14:paraId="24FB9B30" w14:textId="02A9A151" w:rsidR="000002F7" w:rsidRPr="000E6E53" w:rsidRDefault="000002F7" w:rsidP="00213BAD">
      <w:pPr>
        <w:spacing w:after="0" w:line="240" w:lineRule="auto"/>
        <w:ind w:firstLine="709"/>
        <w:jc w:val="both"/>
        <w:rPr>
          <w:rFonts w:ascii="Times New Roman" w:eastAsia="Calibri" w:hAnsi="Times New Roman" w:cs="Times New Roman"/>
          <w:i/>
          <w:sz w:val="24"/>
          <w:szCs w:val="24"/>
        </w:rPr>
      </w:pPr>
      <w:r w:rsidRPr="000E6E53">
        <w:rPr>
          <w:rFonts w:ascii="Times New Roman" w:eastAsia="Calibri" w:hAnsi="Times New Roman" w:cs="Times New Roman"/>
          <w:i/>
          <w:sz w:val="24"/>
          <w:szCs w:val="24"/>
        </w:rPr>
        <w:t>I mercati di rete mobile</w:t>
      </w:r>
    </w:p>
    <w:p w14:paraId="231E0A89" w14:textId="77777777" w:rsidR="00F702B0" w:rsidRPr="000E6E53" w:rsidRDefault="00F702B0" w:rsidP="00213BAD">
      <w:pPr>
        <w:spacing w:after="0" w:line="240" w:lineRule="auto"/>
        <w:ind w:firstLine="709"/>
        <w:jc w:val="both"/>
        <w:rPr>
          <w:rFonts w:ascii="Times New Roman" w:hAnsi="Times New Roman" w:cs="Times New Roman"/>
          <w:sz w:val="24"/>
          <w:szCs w:val="24"/>
        </w:rPr>
      </w:pPr>
    </w:p>
    <w:p w14:paraId="77DFD1D8" w14:textId="0255055C"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Nello scorso anno, le risorse complessive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prodotte dai servizi </w:t>
      </w:r>
      <w:r w:rsidRPr="000E6E53">
        <w:rPr>
          <w:rFonts w:ascii="Times New Roman" w:hAnsi="Times New Roman" w:cs="Times New Roman"/>
          <w:i/>
          <w:iCs/>
          <w:sz w:val="24"/>
          <w:szCs w:val="24"/>
        </w:rPr>
        <w:t xml:space="preserve">retail </w:t>
      </w:r>
      <w:r w:rsidRPr="000E6E53">
        <w:rPr>
          <w:rFonts w:ascii="Times New Roman" w:hAnsi="Times New Roman" w:cs="Times New Roman"/>
          <w:sz w:val="24"/>
          <w:szCs w:val="24"/>
        </w:rPr>
        <w:t>di rete mobile hanno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fatto registrare, come accennato in precedenza,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una flessione media del 3,8%, attestandosi su valori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inferiori a 10 miliardi di euro pur con risultati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notevolmente differenti a seconda delle componenti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considerate. Il fatturato da servizi voce mostra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un leggero aumento (+2,4%), mentre quello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da servizi dati non evidenzia variazioni di rilievo (-0,6%), consolidando un valore di 3,40 miliardi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di euro. Anche gli introiti derivanti da vendite, da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parte degli operatori, di terminali e di altri </w:t>
      </w:r>
      <w:proofErr w:type="gramStart"/>
      <w:r w:rsidRPr="000E6E53">
        <w:rPr>
          <w:rFonts w:ascii="Times New Roman" w:hAnsi="Times New Roman" w:cs="Times New Roman"/>
          <w:i/>
          <w:iCs/>
          <w:sz w:val="24"/>
          <w:szCs w:val="24"/>
        </w:rPr>
        <w:t>device</w:t>
      </w:r>
      <w:proofErr w:type="gramEnd"/>
      <w:r w:rsidRPr="000E6E53">
        <w:rPr>
          <w:rFonts w:ascii="Times New Roman" w:hAnsi="Times New Roman" w:cs="Times New Roman"/>
          <w:sz w:val="24"/>
          <w:szCs w:val="24"/>
        </w:rPr>
        <w:t>,</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hanno registrato una contrazione del 14,7%</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rispetto al 2021.</w:t>
      </w:r>
    </w:p>
    <w:p w14:paraId="6071D5F7" w14:textId="26605AD9"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Nel 2022 il settore è apparso caratterizzato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dalla presenza di una forte pressione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concorrenziale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esercitata in particolare, anche se con</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minore intensità rispetto al passato, dalla presenza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di Iliad che ha continuato ad erodere quote di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mercato agli operatori storici.</w:t>
      </w:r>
    </w:p>
    <w:p w14:paraId="66513C35" w14:textId="3A823A6F"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Il consumo di servizi voce evidenzia una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flessione rispetto al 2021 superiore al 7% attestandosi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ad un valore inferiore a 200 miliardi di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minuti. Tale variazione, seppur in presenza di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un contenuto aumento (+0,5%) delle linee </w:t>
      </w:r>
      <w:r w:rsidRPr="000E6E53">
        <w:rPr>
          <w:rFonts w:ascii="Times New Roman" w:hAnsi="Times New Roman" w:cs="Times New Roman"/>
          <w:i/>
          <w:iCs/>
          <w:sz w:val="24"/>
          <w:szCs w:val="24"/>
        </w:rPr>
        <w:t>human</w:t>
      </w:r>
      <w:r w:rsidRPr="000E6E53">
        <w:rPr>
          <w:rFonts w:ascii="Times New Roman" w:hAnsi="Times New Roman" w:cs="Times New Roman"/>
          <w:sz w:val="24"/>
          <w:szCs w:val="24"/>
        </w:rPr>
        <w:t>,</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è il risultato del calo del traffico vocale unitario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medio mensile (-7,6%), pari lo scorso anno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a poco più di 200 minuti/mese.</w:t>
      </w:r>
    </w:p>
    <w:p w14:paraId="7200A474" w14:textId="6E752E5A"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Nonostante un consistente rallentamento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nella crescita delle SIM degli utenti che effettuano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traffico dati (la cui consistenza media annua</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è valutabile per il 2022 in 57 milioni, +0,3% rispetto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al 2021, +6,1% dal 2018), il consumo di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servizi dati è aumentato del 31,4% con un traffico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unitario mensile di circa 16,5 gigabyte per</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SIM.</w:t>
      </w:r>
    </w:p>
    <w:p w14:paraId="28F8CF21" w14:textId="647507CD"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Cala ancora, come già segnalato nelle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scorse relazioni annuali, l’utilizzo degli SMS: in</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rapporto alle SIM </w:t>
      </w:r>
      <w:r w:rsidRPr="000E6E53">
        <w:rPr>
          <w:rFonts w:ascii="Times New Roman" w:hAnsi="Times New Roman" w:cs="Times New Roman"/>
          <w:i/>
          <w:iCs/>
          <w:sz w:val="24"/>
          <w:szCs w:val="24"/>
        </w:rPr>
        <w:t xml:space="preserve">human </w:t>
      </w:r>
      <w:r w:rsidRPr="000E6E53">
        <w:rPr>
          <w:rFonts w:ascii="Times New Roman" w:hAnsi="Times New Roman" w:cs="Times New Roman"/>
          <w:sz w:val="24"/>
          <w:szCs w:val="24"/>
        </w:rPr>
        <w:t>negli ultimi dieci anni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si è passati da circa 70 a 7 SMS inviati mensilmente.</w:t>
      </w:r>
    </w:p>
    <w:p w14:paraId="6DDC1AA5" w14:textId="4325C281"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Il leggero aumento osservato a partire dal</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2020 appare riconducibile alla crescita degli SMS</w:t>
      </w:r>
      <w:r w:rsidR="00DD3255" w:rsidRPr="000E6E53">
        <w:rPr>
          <w:rFonts w:ascii="Times New Roman" w:hAnsi="Times New Roman" w:cs="Times New Roman"/>
          <w:sz w:val="24"/>
          <w:szCs w:val="24"/>
        </w:rPr>
        <w:t xml:space="preserve"> </w:t>
      </w:r>
      <w:r w:rsidRPr="000E6E53">
        <w:rPr>
          <w:rFonts w:ascii="Times New Roman" w:hAnsi="Times New Roman" w:cs="Times New Roman"/>
          <w:i/>
          <w:iCs/>
          <w:sz w:val="24"/>
          <w:szCs w:val="24"/>
        </w:rPr>
        <w:t xml:space="preserve">Application to </w:t>
      </w:r>
      <w:proofErr w:type="spellStart"/>
      <w:r w:rsidRPr="000E6E53">
        <w:rPr>
          <w:rFonts w:ascii="Times New Roman" w:hAnsi="Times New Roman" w:cs="Times New Roman"/>
          <w:i/>
          <w:iCs/>
          <w:sz w:val="24"/>
          <w:szCs w:val="24"/>
        </w:rPr>
        <w:t>Person</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(A2P), anche in considerazione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della maggiore diffusione delle postazioni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di lavoro da remoto.</w:t>
      </w:r>
    </w:p>
    <w:p w14:paraId="7EAB62C4" w14:textId="61C040DA" w:rsidR="00F702B0" w:rsidRPr="000E6E53" w:rsidRDefault="00F702B0" w:rsidP="00DD3255">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Cresce, seppur in misura inferiore rispetto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al passato, il numero delle SIM “M2M” (</w:t>
      </w:r>
      <w:r w:rsidRPr="000E6E53">
        <w:rPr>
          <w:rFonts w:ascii="Times New Roman" w:hAnsi="Times New Roman" w:cs="Times New Roman"/>
          <w:i/>
          <w:iCs/>
          <w:sz w:val="24"/>
          <w:szCs w:val="24"/>
        </w:rPr>
        <w:t>machine-to-machine</w:t>
      </w:r>
      <w:r w:rsidRPr="000E6E53">
        <w:rPr>
          <w:rFonts w:ascii="Times New Roman" w:hAnsi="Times New Roman" w:cs="Times New Roman"/>
          <w:sz w:val="24"/>
          <w:szCs w:val="24"/>
        </w:rPr>
        <w:t>), giunte a fine 2022 a 28,8 milioni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di unità, con applicazioni concentrate principalmente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(per circa il 90%) nei settori delle </w:t>
      </w:r>
      <w:proofErr w:type="spellStart"/>
      <w:r w:rsidRPr="000E6E53">
        <w:rPr>
          <w:rFonts w:ascii="Times New Roman" w:hAnsi="Times New Roman" w:cs="Times New Roman"/>
          <w:i/>
          <w:iCs/>
          <w:sz w:val="24"/>
          <w:szCs w:val="24"/>
        </w:rPr>
        <w:t>utilitiy</w:t>
      </w:r>
      <w:proofErr w:type="spell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della mobilità. Un tema di particolare interesse, per meglio</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comprendere le dinamiche competitive del</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settore, riguarda l’andamento dei ricavi medi annui,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per SIM e per utente (</w:t>
      </w:r>
      <w:r w:rsidRPr="000E6E53">
        <w:rPr>
          <w:rFonts w:ascii="Times New Roman" w:hAnsi="Times New Roman" w:cs="Times New Roman"/>
          <w:i/>
          <w:iCs/>
          <w:sz w:val="24"/>
          <w:szCs w:val="24"/>
        </w:rPr>
        <w:t>user</w:t>
      </w:r>
      <w:r w:rsidRPr="000E6E53">
        <w:rPr>
          <w:rFonts w:ascii="Times New Roman" w:hAnsi="Times New Roman" w:cs="Times New Roman"/>
          <w:sz w:val="24"/>
          <w:szCs w:val="24"/>
        </w:rPr>
        <w:t>).</w:t>
      </w:r>
    </w:p>
    <w:p w14:paraId="7642F55E" w14:textId="62B5A8E3" w:rsidR="00F702B0" w:rsidRPr="000E6E53" w:rsidRDefault="00F702B0" w:rsidP="00D71E1C">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 xml:space="preserve">I ricavi per SIM </w:t>
      </w:r>
      <w:r w:rsidRPr="000E6E53">
        <w:rPr>
          <w:rFonts w:ascii="Times New Roman" w:hAnsi="Times New Roman" w:cs="Times New Roman"/>
          <w:i/>
          <w:iCs/>
          <w:sz w:val="24"/>
          <w:szCs w:val="24"/>
        </w:rPr>
        <w:t xml:space="preserve">human </w:t>
      </w:r>
      <w:r w:rsidRPr="000E6E53">
        <w:rPr>
          <w:rFonts w:ascii="Times New Roman" w:hAnsi="Times New Roman" w:cs="Times New Roman"/>
          <w:sz w:val="24"/>
          <w:szCs w:val="24"/>
        </w:rPr>
        <w:t>mostrano una marginale</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riduzione (-0,4%) rimanendo, tuttavia, </w:t>
      </w:r>
      <w:r w:rsidR="00DD3255" w:rsidRPr="000E6E53">
        <w:rPr>
          <w:rFonts w:ascii="Times New Roman" w:hAnsi="Times New Roman" w:cs="Times New Roman"/>
          <w:sz w:val="24"/>
          <w:szCs w:val="24"/>
        </w:rPr>
        <w:t>v</w:t>
      </w:r>
      <w:r w:rsidRPr="000E6E53">
        <w:rPr>
          <w:rFonts w:ascii="Times New Roman" w:hAnsi="Times New Roman" w:cs="Times New Roman"/>
          <w:sz w:val="24"/>
          <w:szCs w:val="24"/>
        </w:rPr>
        <w:t>icini ai</w:t>
      </w:r>
      <w:r w:rsidR="00DD3255" w:rsidRPr="000E6E53">
        <w:rPr>
          <w:rFonts w:ascii="Times New Roman" w:hAnsi="Times New Roman" w:cs="Times New Roman"/>
          <w:sz w:val="24"/>
          <w:szCs w:val="24"/>
        </w:rPr>
        <w:t xml:space="preserve"> </w:t>
      </w:r>
      <w:r w:rsidRPr="000E6E53">
        <w:rPr>
          <w:rFonts w:ascii="Times New Roman" w:hAnsi="Times New Roman" w:cs="Times New Roman"/>
          <w:sz w:val="24"/>
          <w:szCs w:val="24"/>
        </w:rPr>
        <w:t>138 €/anno: crescono i ricavi per servizi voce 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dati (rispettivamente del 6,0 e del 2,9%) mentre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calano del 13,8% quelli relativi ai </w:t>
      </w:r>
      <w:proofErr w:type="gramStart"/>
      <w:r w:rsidRPr="000E6E53">
        <w:rPr>
          <w:rFonts w:ascii="Times New Roman" w:hAnsi="Times New Roman" w:cs="Times New Roman"/>
          <w:i/>
          <w:iCs/>
          <w:sz w:val="24"/>
          <w:szCs w:val="24"/>
        </w:rPr>
        <w:t>device</w:t>
      </w:r>
      <w:proofErr w:type="gramEnd"/>
      <w:r w:rsidRPr="000E6E53">
        <w:rPr>
          <w:rFonts w:ascii="Times New Roman" w:hAnsi="Times New Roman" w:cs="Times New Roman"/>
          <w:i/>
          <w:iCs/>
          <w:sz w:val="24"/>
          <w:szCs w:val="24"/>
        </w:rPr>
        <w:t xml:space="preserve"> </w:t>
      </w:r>
      <w:r w:rsidRPr="000E6E53">
        <w:rPr>
          <w:rFonts w:ascii="Times New Roman" w:hAnsi="Times New Roman" w:cs="Times New Roman"/>
          <w:sz w:val="24"/>
          <w:szCs w:val="24"/>
        </w:rPr>
        <w:t>ed altri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servizi non riconducibili ai precedenti.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Analoghi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risultati emergono con riferimento agli introiti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per </w:t>
      </w:r>
      <w:r w:rsidRPr="000E6E53">
        <w:rPr>
          <w:rFonts w:ascii="Times New Roman" w:hAnsi="Times New Roman" w:cs="Times New Roman"/>
          <w:i/>
          <w:iCs/>
          <w:sz w:val="24"/>
          <w:szCs w:val="24"/>
        </w:rPr>
        <w:t xml:space="preserve">user </w:t>
      </w:r>
      <w:r w:rsidRPr="000E6E53">
        <w:rPr>
          <w:rFonts w:ascii="Times New Roman" w:hAnsi="Times New Roman" w:cs="Times New Roman"/>
          <w:sz w:val="24"/>
          <w:szCs w:val="24"/>
        </w:rPr>
        <w:t>(nel complesso nel 2022 pari a circa 190</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euro), con valori che riflettono la diversa dinamica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dei “denominatori” delle due classi di indicatori.</w:t>
      </w:r>
    </w:p>
    <w:p w14:paraId="0951D5EF" w14:textId="5EC196EF" w:rsidR="00F702B0" w:rsidRPr="000E6E53" w:rsidRDefault="00F702B0" w:rsidP="009927E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L’analisi degli introiti unitari per tipologia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di servizi evidenzia una crescita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sia di </w:t>
      </w:r>
      <w:proofErr w:type="gramStart"/>
      <w:r w:rsidRPr="000E6E53">
        <w:rPr>
          <w:rFonts w:ascii="Times New Roman" w:hAnsi="Times New Roman" w:cs="Times New Roman"/>
          <w:sz w:val="24"/>
          <w:szCs w:val="24"/>
        </w:rPr>
        <w:t>quelli voce</w:t>
      </w:r>
      <w:proofErr w:type="gramEnd"/>
      <w:r w:rsidRPr="000E6E53">
        <w:rPr>
          <w:rFonts w:ascii="Times New Roman" w:hAnsi="Times New Roman" w:cs="Times New Roman"/>
          <w:sz w:val="24"/>
          <w:szCs w:val="24"/>
        </w:rPr>
        <w:t>, sia di quelli SMS. Tale fenomeno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sembra esser dovuto in parte alla riduzione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dei volumi (in particolare per la voce) ed in</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parte a rimodulazioni del </w:t>
      </w:r>
      <w:r w:rsidRPr="000E6E53">
        <w:rPr>
          <w:rFonts w:ascii="Times New Roman" w:hAnsi="Times New Roman" w:cs="Times New Roman"/>
          <w:i/>
          <w:iCs/>
          <w:sz w:val="24"/>
          <w:szCs w:val="24"/>
        </w:rPr>
        <w:t xml:space="preserve">pricing </w:t>
      </w:r>
      <w:r w:rsidRPr="000E6E53">
        <w:rPr>
          <w:rFonts w:ascii="Times New Roman" w:hAnsi="Times New Roman" w:cs="Times New Roman"/>
          <w:sz w:val="24"/>
          <w:szCs w:val="24"/>
        </w:rPr>
        <w:t>ovvero a variazioni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nei </w:t>
      </w:r>
      <w:r w:rsidRPr="000E6E53">
        <w:rPr>
          <w:rFonts w:ascii="Times New Roman" w:hAnsi="Times New Roman" w:cs="Times New Roman"/>
          <w:i/>
          <w:iCs/>
          <w:sz w:val="24"/>
          <w:szCs w:val="24"/>
        </w:rPr>
        <w:t xml:space="preserve">driver </w:t>
      </w:r>
      <w:r w:rsidRPr="000E6E53">
        <w:rPr>
          <w:rFonts w:ascii="Times New Roman" w:hAnsi="Times New Roman" w:cs="Times New Roman"/>
          <w:sz w:val="24"/>
          <w:szCs w:val="24"/>
        </w:rPr>
        <w:t>di attribuzione dei ricavi da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parte degli operatori. La diminuzione dei ricavi 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il contestuale aumento dei volumi relativi al traffico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dati ha prodotto una riduzione dei ricavi per</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GB dell’ordine del 20% (da 50 centesimi di euro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per GB a 40).</w:t>
      </w:r>
    </w:p>
    <w:p w14:paraId="1171F781" w14:textId="14A79D76" w:rsidR="00F702B0" w:rsidRPr="000E6E53" w:rsidRDefault="00F702B0" w:rsidP="009927E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Il mercato della telefonia mobile si conferma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anche nel 2022 altamente concentrato dal</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punto di vista concorrenziale con tre principali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operatori che, con quote tra loro relativamente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equivalenti (comprese tra il 29,5% di TIM ed il</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26,1% di Vodafone), rappresentano poco meno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dell’85% del mercato. Va tuttavia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osservato come, nel 2022, TIM, Vodafone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e Wind Tre abbiano perso nel complesso 2,2</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punti percentuali (2,9 se si considera il solo segmento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residenziale) a vantaggio di Iliad (+1,4</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punti percentuali) e degli MVNO (+0,7 punti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percentuali).</w:t>
      </w:r>
    </w:p>
    <w:p w14:paraId="498631A1" w14:textId="654FFB0A" w:rsidR="00F702B0" w:rsidRPr="000E6E53" w:rsidRDefault="00F702B0" w:rsidP="009927EA">
      <w:pPr>
        <w:autoSpaceDE w:val="0"/>
        <w:autoSpaceDN w:val="0"/>
        <w:adjustRightInd w:val="0"/>
        <w:spacing w:after="0" w:line="240" w:lineRule="auto"/>
        <w:ind w:firstLine="709"/>
        <w:jc w:val="both"/>
        <w:rPr>
          <w:rFonts w:ascii="Times New Roman" w:hAnsi="Times New Roman" w:cs="Times New Roman"/>
          <w:sz w:val="24"/>
          <w:szCs w:val="24"/>
        </w:rPr>
      </w:pPr>
      <w:r w:rsidRPr="000E6E53">
        <w:rPr>
          <w:rFonts w:ascii="Times New Roman" w:hAnsi="Times New Roman" w:cs="Times New Roman"/>
          <w:sz w:val="24"/>
          <w:szCs w:val="24"/>
        </w:rPr>
        <w:t>Come già evidenziato in occasione della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precedente Relazione</w:t>
      </w:r>
      <w:r w:rsidR="009927EA" w:rsidRPr="000E6E53">
        <w:rPr>
          <w:rFonts w:ascii="Times New Roman" w:hAnsi="Times New Roman" w:cs="Times New Roman"/>
          <w:sz w:val="24"/>
          <w:szCs w:val="24"/>
        </w:rPr>
        <w:t xml:space="preserve"> dell’AGCOM</w:t>
      </w:r>
      <w:r w:rsidRPr="000E6E53">
        <w:rPr>
          <w:rFonts w:ascii="Times New Roman" w:hAnsi="Times New Roman" w:cs="Times New Roman"/>
          <w:sz w:val="24"/>
          <w:szCs w:val="24"/>
        </w:rPr>
        <w:t>, le tendenze sopra descritte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sembrano testimoniare come il mercato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sia particolarmente sensibile alle offerte low cost, segmento presidiato da medi e piccoli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operatori caratterizzati, tra l’altro, da specifici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modelli di </w:t>
      </w:r>
      <w:r w:rsidRPr="000E6E53">
        <w:rPr>
          <w:rFonts w:ascii="Times New Roman" w:hAnsi="Times New Roman" w:cs="Times New Roman"/>
          <w:i/>
          <w:iCs/>
          <w:sz w:val="24"/>
          <w:szCs w:val="24"/>
        </w:rPr>
        <w:lastRenderedPageBreak/>
        <w:t>business</w:t>
      </w:r>
      <w:r w:rsidRPr="000E6E53">
        <w:rPr>
          <w:rFonts w:ascii="Times New Roman" w:hAnsi="Times New Roman" w:cs="Times New Roman"/>
          <w:sz w:val="24"/>
          <w:szCs w:val="24"/>
        </w:rPr>
        <w:t>. I tre principali operatori di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questo specifico mercato (Postepay, Fastweb 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CoopVoce) fanno infatti riferimento a tre specifici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 xml:space="preserve">modelli di </w:t>
      </w:r>
      <w:r w:rsidRPr="000E6E53">
        <w:rPr>
          <w:rFonts w:ascii="Times New Roman" w:hAnsi="Times New Roman" w:cs="Times New Roman"/>
          <w:i/>
          <w:iCs/>
          <w:sz w:val="24"/>
          <w:szCs w:val="24"/>
        </w:rPr>
        <w:t>business</w:t>
      </w:r>
      <w:r w:rsidRPr="000E6E53">
        <w:rPr>
          <w:rFonts w:ascii="Times New Roman" w:hAnsi="Times New Roman" w:cs="Times New Roman"/>
          <w:sz w:val="24"/>
          <w:szCs w:val="24"/>
        </w:rPr>
        <w:t xml:space="preserve">: il primo, il </w:t>
      </w:r>
      <w:r w:rsidRPr="000E6E53">
        <w:rPr>
          <w:rFonts w:ascii="Times New Roman" w:hAnsi="Times New Roman" w:cs="Times New Roman"/>
          <w:i/>
          <w:iCs/>
          <w:sz w:val="24"/>
          <w:szCs w:val="24"/>
        </w:rPr>
        <w:t xml:space="preserve">player </w:t>
      </w:r>
      <w:r w:rsidRPr="000E6E53">
        <w:rPr>
          <w:rFonts w:ascii="Times New Roman" w:hAnsi="Times New Roman" w:cs="Times New Roman"/>
          <w:sz w:val="24"/>
          <w:szCs w:val="24"/>
        </w:rPr>
        <w:t>di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maggiori dimensioni con una quota di mercato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pari a 35,4%, incentrato sull’integrazione con 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servizi finanziari, il secondo sui servizi di telefo</w:t>
      </w:r>
      <w:r w:rsidR="00164A45" w:rsidRPr="000E6E53">
        <w:rPr>
          <w:rFonts w:ascii="Times New Roman" w:hAnsi="Times New Roman" w:cs="Times New Roman"/>
          <w:sz w:val="24"/>
          <w:szCs w:val="24"/>
        </w:rPr>
        <w:t xml:space="preserve">nia su rete fissa e il terzo sul </w:t>
      </w:r>
      <w:proofErr w:type="gramStart"/>
      <w:r w:rsidR="00164A45" w:rsidRPr="000E6E53">
        <w:rPr>
          <w:rFonts w:ascii="Times New Roman" w:hAnsi="Times New Roman" w:cs="Times New Roman"/>
          <w:i/>
          <w:iCs/>
          <w:sz w:val="24"/>
          <w:szCs w:val="24"/>
        </w:rPr>
        <w:t>brand</w:t>
      </w:r>
      <w:proofErr w:type="gramEnd"/>
      <w:r w:rsidR="00164A45" w:rsidRPr="000E6E53">
        <w:rPr>
          <w:rFonts w:ascii="Times New Roman" w:hAnsi="Times New Roman" w:cs="Times New Roman"/>
          <w:sz w:val="24"/>
          <w:szCs w:val="24"/>
        </w:rPr>
        <w:t xml:space="preserve"> e la </w:t>
      </w:r>
      <w:r w:rsidRPr="000E6E53">
        <w:rPr>
          <w:rFonts w:ascii="Times New Roman" w:hAnsi="Times New Roman" w:cs="Times New Roman"/>
          <w:sz w:val="24"/>
          <w:szCs w:val="24"/>
        </w:rPr>
        <w:t>capillarità</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nella grande distribuzione. Il giro di affari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degli operatori mobili virtuali (MVNO), pari al</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5,7%, ha registrato una crescita che ha superato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gli 800 milioni di euro.</w:t>
      </w:r>
    </w:p>
    <w:p w14:paraId="1B8C23EE" w14:textId="48F1B801" w:rsidR="00F702B0" w:rsidRPr="000E6E53" w:rsidRDefault="00F702B0" w:rsidP="009927EA">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E6E53">
        <w:rPr>
          <w:rFonts w:ascii="Times New Roman" w:hAnsi="Times New Roman" w:cs="Times New Roman"/>
          <w:sz w:val="24"/>
          <w:szCs w:val="24"/>
        </w:rPr>
        <w:t>Con riguardo alle quote di mercato per tipologia</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di servizi, nel segmento voce Vodafone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rimane l’operatore principale (35,8%), seguito da TIM (22,2%) e da Wind Tre (22,0%); crescono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Iliad (8,3%) di 1,7 punti percentuali e gli MVNO</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(11,6%) di 2,0 punti percentuali. Nei servizi dati</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TIM (34,7%) si conferma quale principale operatore</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seguito Wind Tre (33,4%), mentre risulta in</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diminuzione Vodafone che scende al 19,0% (-3,4</w:t>
      </w:r>
      <w:r w:rsidR="009927EA" w:rsidRPr="000E6E53">
        <w:rPr>
          <w:rFonts w:ascii="Times New Roman" w:hAnsi="Times New Roman" w:cs="Times New Roman"/>
          <w:sz w:val="24"/>
          <w:szCs w:val="24"/>
        </w:rPr>
        <w:t xml:space="preserve"> </w:t>
      </w:r>
      <w:r w:rsidRPr="000E6E53">
        <w:rPr>
          <w:rFonts w:ascii="Times New Roman" w:hAnsi="Times New Roman" w:cs="Times New Roman"/>
          <w:sz w:val="24"/>
          <w:szCs w:val="24"/>
        </w:rPr>
        <w:t>punti percentuali).</w:t>
      </w:r>
    </w:p>
    <w:p w14:paraId="4A0661C5" w14:textId="77777777" w:rsidR="006F5E00" w:rsidRDefault="006F5E00" w:rsidP="00213BAD">
      <w:pPr>
        <w:spacing w:after="0" w:line="240" w:lineRule="auto"/>
        <w:ind w:firstLine="709"/>
        <w:jc w:val="both"/>
        <w:rPr>
          <w:rFonts w:ascii="Times New Roman" w:hAnsi="Times New Roman" w:cs="Times New Roman"/>
          <w:sz w:val="24"/>
          <w:szCs w:val="24"/>
        </w:rPr>
      </w:pPr>
    </w:p>
    <w:sectPr w:rsidR="006F5E00" w:rsidSect="00662A01">
      <w:pgSz w:w="11906" w:h="16838" w:code="9"/>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DD7E4" w14:textId="77777777" w:rsidR="00FF7516" w:rsidRDefault="00FF7516" w:rsidP="001D72B6">
      <w:pPr>
        <w:spacing w:after="0" w:line="240" w:lineRule="auto"/>
      </w:pPr>
      <w:r>
        <w:separator/>
      </w:r>
    </w:p>
  </w:endnote>
  <w:endnote w:type="continuationSeparator" w:id="0">
    <w:p w14:paraId="1DB1BB01" w14:textId="77777777" w:rsidR="00FF7516" w:rsidRDefault="00FF7516" w:rsidP="001D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 Garamond LT Light">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4269B" w14:textId="77777777" w:rsidR="00FF7516" w:rsidRDefault="00FF7516" w:rsidP="001D72B6">
      <w:pPr>
        <w:spacing w:after="0" w:line="240" w:lineRule="auto"/>
      </w:pPr>
      <w:r>
        <w:separator/>
      </w:r>
    </w:p>
  </w:footnote>
  <w:footnote w:type="continuationSeparator" w:id="0">
    <w:p w14:paraId="6610454F" w14:textId="77777777" w:rsidR="00FF7516" w:rsidRDefault="00FF7516" w:rsidP="001D72B6">
      <w:pPr>
        <w:spacing w:after="0" w:line="240" w:lineRule="auto"/>
      </w:pPr>
      <w:r>
        <w:continuationSeparator/>
      </w:r>
    </w:p>
  </w:footnote>
  <w:footnote w:id="1">
    <w:p w14:paraId="5226F77D" w14:textId="1518C714" w:rsidR="003C4217" w:rsidRDefault="003C4217">
      <w:pPr>
        <w:pStyle w:val="Testonotaapidipagina"/>
      </w:pPr>
      <w:r>
        <w:rPr>
          <w:rStyle w:val="Rimandonotaapidipagina"/>
        </w:rPr>
        <w:footnoteRef/>
      </w:r>
      <w:r>
        <w:t xml:space="preserve"> </w:t>
      </w:r>
      <w:r w:rsidRPr="003C4217">
        <w:t>a) nei servizi “Voce” sono inclusi introiti da servizi di accesso, da fonia (locale, nazionale, internazionale, fisso-mobile), ricavi netti da servizi a numerazione non geografica e da telefonia pubblica; b) nei servizi “Dati” sono inclusi quelli provenienti dalle reti a larga banda, inclusi canoni e servizi a consumo, servizi commutati di trasmissione dati e circuiti diretti affittati a clientela finale (esclusi OAO), ricavi da servizi M2M; c) nella voce “Altro” sono inclusi i ricavi da vendita/noleggio di apparati, terminali e accessori e altre tipologie di ricavo non espressamente considerate in precedenza].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0CD5"/>
    <w:multiLevelType w:val="hybridMultilevel"/>
    <w:tmpl w:val="BB8097D6"/>
    <w:lvl w:ilvl="0" w:tplc="7DE2D52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4B681E"/>
    <w:multiLevelType w:val="hybridMultilevel"/>
    <w:tmpl w:val="5EE6302E"/>
    <w:lvl w:ilvl="0" w:tplc="CB76E204">
      <w:start w:val="1"/>
      <w:numFmt w:val="bullet"/>
      <w:lvlText w:val=""/>
      <w:lvlJc w:val="left"/>
      <w:pPr>
        <w:ind w:left="1428" w:hanging="360"/>
      </w:pPr>
      <w:rPr>
        <w:rFonts w:ascii="Symbol" w:hAnsi="Symbol" w:hint="default"/>
        <w:sz w:val="24"/>
        <w:szCs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2E716250"/>
    <w:multiLevelType w:val="hybridMultilevel"/>
    <w:tmpl w:val="BAF4A74C"/>
    <w:lvl w:ilvl="0" w:tplc="A4C211D8">
      <w:start w:val="1"/>
      <w:numFmt w:val="bullet"/>
      <w:lvlText w:val=""/>
      <w:lvlJc w:val="left"/>
      <w:pPr>
        <w:ind w:left="1069" w:hanging="360"/>
      </w:pPr>
      <w:rPr>
        <w:rFonts w:ascii="Symbol" w:hAnsi="Symbol" w:hint="default"/>
        <w:color w:val="auto"/>
        <w:sz w:val="24"/>
        <w:szCs w:val="24"/>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F9A515A"/>
    <w:multiLevelType w:val="hybridMultilevel"/>
    <w:tmpl w:val="0E6E0470"/>
    <w:lvl w:ilvl="0" w:tplc="736207D6">
      <w:numFmt w:val="bullet"/>
      <w:lvlText w:val="-"/>
      <w:lvlJc w:val="left"/>
      <w:pPr>
        <w:ind w:left="1068" w:hanging="360"/>
      </w:pPr>
      <w:rPr>
        <w:rFonts w:ascii="Times New Roman" w:eastAsiaTheme="minorHAns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48815291"/>
    <w:multiLevelType w:val="hybridMultilevel"/>
    <w:tmpl w:val="9806BB7E"/>
    <w:lvl w:ilvl="0" w:tplc="C450E58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55F7245"/>
    <w:multiLevelType w:val="hybridMultilevel"/>
    <w:tmpl w:val="27625C2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143276057">
    <w:abstractNumId w:val="2"/>
  </w:num>
  <w:num w:numId="2" w16cid:durableId="1555043544">
    <w:abstractNumId w:val="1"/>
  </w:num>
  <w:num w:numId="3" w16cid:durableId="1206681479">
    <w:abstractNumId w:val="3"/>
  </w:num>
  <w:num w:numId="4" w16cid:durableId="1549535963">
    <w:abstractNumId w:val="0"/>
  </w:num>
  <w:num w:numId="5" w16cid:durableId="204222530">
    <w:abstractNumId w:val="4"/>
  </w:num>
  <w:num w:numId="6" w16cid:durableId="5447553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2F7"/>
    <w:rsid w:val="000002F7"/>
    <w:rsid w:val="00013DD2"/>
    <w:rsid w:val="00034493"/>
    <w:rsid w:val="0005528D"/>
    <w:rsid w:val="00056E65"/>
    <w:rsid w:val="0006527D"/>
    <w:rsid w:val="000654D9"/>
    <w:rsid w:val="00065D56"/>
    <w:rsid w:val="00067538"/>
    <w:rsid w:val="00073294"/>
    <w:rsid w:val="00076A19"/>
    <w:rsid w:val="00085F3A"/>
    <w:rsid w:val="00086609"/>
    <w:rsid w:val="00090160"/>
    <w:rsid w:val="00094C7E"/>
    <w:rsid w:val="000B2927"/>
    <w:rsid w:val="000B2F3A"/>
    <w:rsid w:val="000B3A2E"/>
    <w:rsid w:val="000B5CF3"/>
    <w:rsid w:val="000B7D03"/>
    <w:rsid w:val="000C2C09"/>
    <w:rsid w:val="000C3F79"/>
    <w:rsid w:val="000D0C95"/>
    <w:rsid w:val="000E0B6B"/>
    <w:rsid w:val="000E2C8E"/>
    <w:rsid w:val="000E6E53"/>
    <w:rsid w:val="000F0088"/>
    <w:rsid w:val="000F07C5"/>
    <w:rsid w:val="000F510D"/>
    <w:rsid w:val="000F72C1"/>
    <w:rsid w:val="00105D74"/>
    <w:rsid w:val="0012039F"/>
    <w:rsid w:val="00124B19"/>
    <w:rsid w:val="00132CBE"/>
    <w:rsid w:val="00133316"/>
    <w:rsid w:val="001348DE"/>
    <w:rsid w:val="00135636"/>
    <w:rsid w:val="001378AB"/>
    <w:rsid w:val="00153CBE"/>
    <w:rsid w:val="00154F6B"/>
    <w:rsid w:val="00156C82"/>
    <w:rsid w:val="00164A45"/>
    <w:rsid w:val="00164C1F"/>
    <w:rsid w:val="001660CD"/>
    <w:rsid w:val="001702EE"/>
    <w:rsid w:val="00174C75"/>
    <w:rsid w:val="00191F7E"/>
    <w:rsid w:val="00195D1F"/>
    <w:rsid w:val="001A0343"/>
    <w:rsid w:val="001B48C8"/>
    <w:rsid w:val="001D5114"/>
    <w:rsid w:val="001D72B6"/>
    <w:rsid w:val="001F4FBF"/>
    <w:rsid w:val="00201670"/>
    <w:rsid w:val="00210A96"/>
    <w:rsid w:val="00213BAD"/>
    <w:rsid w:val="00216AA1"/>
    <w:rsid w:val="002208CF"/>
    <w:rsid w:val="002302F8"/>
    <w:rsid w:val="002679F5"/>
    <w:rsid w:val="00284C12"/>
    <w:rsid w:val="00286178"/>
    <w:rsid w:val="002877A6"/>
    <w:rsid w:val="00294037"/>
    <w:rsid w:val="00295776"/>
    <w:rsid w:val="002B2D69"/>
    <w:rsid w:val="002B40CE"/>
    <w:rsid w:val="002D40D7"/>
    <w:rsid w:val="002E166A"/>
    <w:rsid w:val="002E4CFB"/>
    <w:rsid w:val="002E753A"/>
    <w:rsid w:val="002E7CAA"/>
    <w:rsid w:val="002F3425"/>
    <w:rsid w:val="002F5D0B"/>
    <w:rsid w:val="002F6FA5"/>
    <w:rsid w:val="002F7F25"/>
    <w:rsid w:val="0030031B"/>
    <w:rsid w:val="0030202B"/>
    <w:rsid w:val="00325B3A"/>
    <w:rsid w:val="003260C4"/>
    <w:rsid w:val="00336A69"/>
    <w:rsid w:val="003510C4"/>
    <w:rsid w:val="003570B7"/>
    <w:rsid w:val="00363B3A"/>
    <w:rsid w:val="00367B19"/>
    <w:rsid w:val="00384607"/>
    <w:rsid w:val="00385609"/>
    <w:rsid w:val="003871EA"/>
    <w:rsid w:val="00395375"/>
    <w:rsid w:val="003A5CC1"/>
    <w:rsid w:val="003B457B"/>
    <w:rsid w:val="003B7293"/>
    <w:rsid w:val="003C2860"/>
    <w:rsid w:val="003C2B2E"/>
    <w:rsid w:val="003C4217"/>
    <w:rsid w:val="003D08E0"/>
    <w:rsid w:val="003D5608"/>
    <w:rsid w:val="003E484A"/>
    <w:rsid w:val="003F3EB0"/>
    <w:rsid w:val="003F4CA4"/>
    <w:rsid w:val="004056C6"/>
    <w:rsid w:val="00422BA5"/>
    <w:rsid w:val="00430044"/>
    <w:rsid w:val="004301E0"/>
    <w:rsid w:val="004304CA"/>
    <w:rsid w:val="00435FC3"/>
    <w:rsid w:val="00443978"/>
    <w:rsid w:val="00444EFD"/>
    <w:rsid w:val="00451239"/>
    <w:rsid w:val="004514D8"/>
    <w:rsid w:val="0045441E"/>
    <w:rsid w:val="0045570F"/>
    <w:rsid w:val="00460CE4"/>
    <w:rsid w:val="00462DB4"/>
    <w:rsid w:val="00464043"/>
    <w:rsid w:val="004654C3"/>
    <w:rsid w:val="00486EA1"/>
    <w:rsid w:val="00486F72"/>
    <w:rsid w:val="004A15B4"/>
    <w:rsid w:val="004A2459"/>
    <w:rsid w:val="004A2971"/>
    <w:rsid w:val="004B1496"/>
    <w:rsid w:val="004B176C"/>
    <w:rsid w:val="004B2796"/>
    <w:rsid w:val="004B6DCA"/>
    <w:rsid w:val="004C3BB2"/>
    <w:rsid w:val="004C73A9"/>
    <w:rsid w:val="004D2EA1"/>
    <w:rsid w:val="004D47B0"/>
    <w:rsid w:val="004D5061"/>
    <w:rsid w:val="004E67B0"/>
    <w:rsid w:val="004E69C3"/>
    <w:rsid w:val="004F11FF"/>
    <w:rsid w:val="004F15B8"/>
    <w:rsid w:val="004F66B3"/>
    <w:rsid w:val="00501796"/>
    <w:rsid w:val="00514A52"/>
    <w:rsid w:val="0051688C"/>
    <w:rsid w:val="005250A9"/>
    <w:rsid w:val="0052652D"/>
    <w:rsid w:val="00527F2E"/>
    <w:rsid w:val="00535FF6"/>
    <w:rsid w:val="00540703"/>
    <w:rsid w:val="00553FEE"/>
    <w:rsid w:val="00554D87"/>
    <w:rsid w:val="00562BC6"/>
    <w:rsid w:val="00563458"/>
    <w:rsid w:val="00564052"/>
    <w:rsid w:val="005763AD"/>
    <w:rsid w:val="005768CB"/>
    <w:rsid w:val="00584D00"/>
    <w:rsid w:val="005A61BD"/>
    <w:rsid w:val="005A7BAD"/>
    <w:rsid w:val="005B0132"/>
    <w:rsid w:val="005C1C31"/>
    <w:rsid w:val="005C1E4C"/>
    <w:rsid w:val="005C235F"/>
    <w:rsid w:val="005C2C01"/>
    <w:rsid w:val="005F4AB2"/>
    <w:rsid w:val="006025BB"/>
    <w:rsid w:val="006035DE"/>
    <w:rsid w:val="00614F23"/>
    <w:rsid w:val="00621192"/>
    <w:rsid w:val="00622B82"/>
    <w:rsid w:val="0063068B"/>
    <w:rsid w:val="0063094E"/>
    <w:rsid w:val="00631218"/>
    <w:rsid w:val="00636B75"/>
    <w:rsid w:val="00642007"/>
    <w:rsid w:val="0064509C"/>
    <w:rsid w:val="00662A01"/>
    <w:rsid w:val="00692F05"/>
    <w:rsid w:val="006959D6"/>
    <w:rsid w:val="006B521C"/>
    <w:rsid w:val="006C5BCF"/>
    <w:rsid w:val="006C7722"/>
    <w:rsid w:val="006C77E7"/>
    <w:rsid w:val="006D3859"/>
    <w:rsid w:val="006D3C8D"/>
    <w:rsid w:val="006D4A4A"/>
    <w:rsid w:val="006E4E9C"/>
    <w:rsid w:val="006F5E00"/>
    <w:rsid w:val="007008C8"/>
    <w:rsid w:val="007008FC"/>
    <w:rsid w:val="007253E3"/>
    <w:rsid w:val="00735334"/>
    <w:rsid w:val="00736F18"/>
    <w:rsid w:val="007414AE"/>
    <w:rsid w:val="007539DC"/>
    <w:rsid w:val="00764971"/>
    <w:rsid w:val="00765A2C"/>
    <w:rsid w:val="0077158F"/>
    <w:rsid w:val="00773E83"/>
    <w:rsid w:val="00790E52"/>
    <w:rsid w:val="00797BB2"/>
    <w:rsid w:val="00797EF5"/>
    <w:rsid w:val="007A14F9"/>
    <w:rsid w:val="007A15B9"/>
    <w:rsid w:val="007A1EEC"/>
    <w:rsid w:val="007A4DC9"/>
    <w:rsid w:val="007A7063"/>
    <w:rsid w:val="007A730E"/>
    <w:rsid w:val="007A786A"/>
    <w:rsid w:val="007A7F74"/>
    <w:rsid w:val="007B070E"/>
    <w:rsid w:val="007B248E"/>
    <w:rsid w:val="007B5752"/>
    <w:rsid w:val="007C07D1"/>
    <w:rsid w:val="007D4E50"/>
    <w:rsid w:val="007D7DF5"/>
    <w:rsid w:val="007D7FAF"/>
    <w:rsid w:val="007E07F2"/>
    <w:rsid w:val="007E436B"/>
    <w:rsid w:val="007F5A2F"/>
    <w:rsid w:val="00811100"/>
    <w:rsid w:val="00812DFA"/>
    <w:rsid w:val="00814C40"/>
    <w:rsid w:val="0082088F"/>
    <w:rsid w:val="00833607"/>
    <w:rsid w:val="00860AA0"/>
    <w:rsid w:val="00863080"/>
    <w:rsid w:val="00877A98"/>
    <w:rsid w:val="00877D66"/>
    <w:rsid w:val="0088716E"/>
    <w:rsid w:val="008973F1"/>
    <w:rsid w:val="00897B0A"/>
    <w:rsid w:val="008A0C19"/>
    <w:rsid w:val="008B335A"/>
    <w:rsid w:val="008C2593"/>
    <w:rsid w:val="008C75E3"/>
    <w:rsid w:val="008D1EBC"/>
    <w:rsid w:val="008D2DCB"/>
    <w:rsid w:val="008D51EF"/>
    <w:rsid w:val="008D5359"/>
    <w:rsid w:val="008D5C15"/>
    <w:rsid w:val="008E3E2A"/>
    <w:rsid w:val="008E58EA"/>
    <w:rsid w:val="008F07B7"/>
    <w:rsid w:val="008F1825"/>
    <w:rsid w:val="009006FB"/>
    <w:rsid w:val="00914D9E"/>
    <w:rsid w:val="009157E2"/>
    <w:rsid w:val="00916691"/>
    <w:rsid w:val="00921DB5"/>
    <w:rsid w:val="00934278"/>
    <w:rsid w:val="0093658A"/>
    <w:rsid w:val="00944D83"/>
    <w:rsid w:val="009508E1"/>
    <w:rsid w:val="00951E13"/>
    <w:rsid w:val="00964B7F"/>
    <w:rsid w:val="00981715"/>
    <w:rsid w:val="00986311"/>
    <w:rsid w:val="009927EA"/>
    <w:rsid w:val="00997BF9"/>
    <w:rsid w:val="00997DE2"/>
    <w:rsid w:val="009A1F88"/>
    <w:rsid w:val="009B2601"/>
    <w:rsid w:val="009B4267"/>
    <w:rsid w:val="009B4ED5"/>
    <w:rsid w:val="009C4FE3"/>
    <w:rsid w:val="009C730F"/>
    <w:rsid w:val="009F12D0"/>
    <w:rsid w:val="00A0288C"/>
    <w:rsid w:val="00A07E09"/>
    <w:rsid w:val="00A11DC2"/>
    <w:rsid w:val="00A1507A"/>
    <w:rsid w:val="00A273D2"/>
    <w:rsid w:val="00A321F0"/>
    <w:rsid w:val="00A35773"/>
    <w:rsid w:val="00A4250B"/>
    <w:rsid w:val="00A47881"/>
    <w:rsid w:val="00A560E5"/>
    <w:rsid w:val="00A60C6F"/>
    <w:rsid w:val="00A72C37"/>
    <w:rsid w:val="00A768FB"/>
    <w:rsid w:val="00A91ABB"/>
    <w:rsid w:val="00A94762"/>
    <w:rsid w:val="00AB4A79"/>
    <w:rsid w:val="00AB60B2"/>
    <w:rsid w:val="00AC07FD"/>
    <w:rsid w:val="00AD0FFC"/>
    <w:rsid w:val="00AD40B2"/>
    <w:rsid w:val="00AE01E8"/>
    <w:rsid w:val="00AF2245"/>
    <w:rsid w:val="00B03420"/>
    <w:rsid w:val="00B03649"/>
    <w:rsid w:val="00B10CE0"/>
    <w:rsid w:val="00B15BB4"/>
    <w:rsid w:val="00B17994"/>
    <w:rsid w:val="00B30AA1"/>
    <w:rsid w:val="00B421EE"/>
    <w:rsid w:val="00B476C3"/>
    <w:rsid w:val="00B573FC"/>
    <w:rsid w:val="00B616AC"/>
    <w:rsid w:val="00B667F0"/>
    <w:rsid w:val="00B70381"/>
    <w:rsid w:val="00B71924"/>
    <w:rsid w:val="00B84F27"/>
    <w:rsid w:val="00B959B4"/>
    <w:rsid w:val="00BA6E45"/>
    <w:rsid w:val="00BB1D12"/>
    <w:rsid w:val="00BB5477"/>
    <w:rsid w:val="00BC3461"/>
    <w:rsid w:val="00BD1517"/>
    <w:rsid w:val="00BD479B"/>
    <w:rsid w:val="00BD504F"/>
    <w:rsid w:val="00BE15E1"/>
    <w:rsid w:val="00BE2A5F"/>
    <w:rsid w:val="00BF1BCE"/>
    <w:rsid w:val="00BF3AED"/>
    <w:rsid w:val="00C042EF"/>
    <w:rsid w:val="00C05470"/>
    <w:rsid w:val="00C065C2"/>
    <w:rsid w:val="00C0691F"/>
    <w:rsid w:val="00C12941"/>
    <w:rsid w:val="00C15015"/>
    <w:rsid w:val="00C21CC2"/>
    <w:rsid w:val="00C36801"/>
    <w:rsid w:val="00C44E09"/>
    <w:rsid w:val="00C44E83"/>
    <w:rsid w:val="00C50B31"/>
    <w:rsid w:val="00C52C74"/>
    <w:rsid w:val="00C57FBA"/>
    <w:rsid w:val="00C72B98"/>
    <w:rsid w:val="00C82CD1"/>
    <w:rsid w:val="00C9031E"/>
    <w:rsid w:val="00C95676"/>
    <w:rsid w:val="00CA434B"/>
    <w:rsid w:val="00CA581C"/>
    <w:rsid w:val="00CB29C3"/>
    <w:rsid w:val="00CB7B11"/>
    <w:rsid w:val="00CD5757"/>
    <w:rsid w:val="00CD5B44"/>
    <w:rsid w:val="00CE7D90"/>
    <w:rsid w:val="00D039A3"/>
    <w:rsid w:val="00D26CC6"/>
    <w:rsid w:val="00D4049D"/>
    <w:rsid w:val="00D41DF1"/>
    <w:rsid w:val="00D61951"/>
    <w:rsid w:val="00D61EEA"/>
    <w:rsid w:val="00D661FC"/>
    <w:rsid w:val="00D71E1C"/>
    <w:rsid w:val="00D82C76"/>
    <w:rsid w:val="00D82FDD"/>
    <w:rsid w:val="00D84192"/>
    <w:rsid w:val="00D85779"/>
    <w:rsid w:val="00D85F0A"/>
    <w:rsid w:val="00D94841"/>
    <w:rsid w:val="00D977C6"/>
    <w:rsid w:val="00DA46A6"/>
    <w:rsid w:val="00DA49C9"/>
    <w:rsid w:val="00DB02DF"/>
    <w:rsid w:val="00DB13AB"/>
    <w:rsid w:val="00DB2C22"/>
    <w:rsid w:val="00DB7F7F"/>
    <w:rsid w:val="00DC0841"/>
    <w:rsid w:val="00DD3255"/>
    <w:rsid w:val="00DD36BF"/>
    <w:rsid w:val="00DD6D94"/>
    <w:rsid w:val="00DE3E1E"/>
    <w:rsid w:val="00DE591D"/>
    <w:rsid w:val="00E0413E"/>
    <w:rsid w:val="00E06BD1"/>
    <w:rsid w:val="00E12B38"/>
    <w:rsid w:val="00E16350"/>
    <w:rsid w:val="00E26CD0"/>
    <w:rsid w:val="00E33CE4"/>
    <w:rsid w:val="00E41AFF"/>
    <w:rsid w:val="00E512F6"/>
    <w:rsid w:val="00E521F3"/>
    <w:rsid w:val="00E55EE3"/>
    <w:rsid w:val="00E85C06"/>
    <w:rsid w:val="00E87089"/>
    <w:rsid w:val="00E92EF9"/>
    <w:rsid w:val="00E9398D"/>
    <w:rsid w:val="00E96CC2"/>
    <w:rsid w:val="00E978DF"/>
    <w:rsid w:val="00EB73F8"/>
    <w:rsid w:val="00EC7A3D"/>
    <w:rsid w:val="00ED7E54"/>
    <w:rsid w:val="00EE6B1C"/>
    <w:rsid w:val="00EF1340"/>
    <w:rsid w:val="00EF6703"/>
    <w:rsid w:val="00EF7E1A"/>
    <w:rsid w:val="00F000FC"/>
    <w:rsid w:val="00F00EFB"/>
    <w:rsid w:val="00F02D5C"/>
    <w:rsid w:val="00F037F3"/>
    <w:rsid w:val="00F04EB8"/>
    <w:rsid w:val="00F14DD9"/>
    <w:rsid w:val="00F218AF"/>
    <w:rsid w:val="00F317D8"/>
    <w:rsid w:val="00F32C4C"/>
    <w:rsid w:val="00F35F44"/>
    <w:rsid w:val="00F45F6F"/>
    <w:rsid w:val="00F5795C"/>
    <w:rsid w:val="00F67AF6"/>
    <w:rsid w:val="00F702B0"/>
    <w:rsid w:val="00F713D0"/>
    <w:rsid w:val="00F76EC1"/>
    <w:rsid w:val="00F8079D"/>
    <w:rsid w:val="00F91D7F"/>
    <w:rsid w:val="00F97B66"/>
    <w:rsid w:val="00FA7C1B"/>
    <w:rsid w:val="00FB21A8"/>
    <w:rsid w:val="00FB3355"/>
    <w:rsid w:val="00FB44BF"/>
    <w:rsid w:val="00FB7813"/>
    <w:rsid w:val="00FC6363"/>
    <w:rsid w:val="00FD3A9B"/>
    <w:rsid w:val="00FE249E"/>
    <w:rsid w:val="00FF61D2"/>
    <w:rsid w:val="00FF6FF0"/>
    <w:rsid w:val="00FF75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9BD1"/>
  <w15:docId w15:val="{FEA8EC75-CDCA-44A5-B52D-C5CC12E9D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02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504F"/>
    <w:pPr>
      <w:ind w:left="720"/>
      <w:contextualSpacing/>
    </w:pPr>
  </w:style>
  <w:style w:type="paragraph" w:styleId="Revisione">
    <w:name w:val="Revision"/>
    <w:hidden/>
    <w:uiPriority w:val="99"/>
    <w:semiHidden/>
    <w:rsid w:val="00D26CC6"/>
    <w:pPr>
      <w:spacing w:after="0" w:line="240" w:lineRule="auto"/>
    </w:pPr>
  </w:style>
  <w:style w:type="paragraph" w:styleId="Testofumetto">
    <w:name w:val="Balloon Text"/>
    <w:basedOn w:val="Normale"/>
    <w:link w:val="TestofumettoCarattere"/>
    <w:uiPriority w:val="99"/>
    <w:semiHidden/>
    <w:unhideWhenUsed/>
    <w:rsid w:val="00D26C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6CC6"/>
    <w:rPr>
      <w:rFonts w:ascii="Tahoma" w:hAnsi="Tahoma" w:cs="Tahoma"/>
      <w:sz w:val="16"/>
      <w:szCs w:val="16"/>
    </w:rPr>
  </w:style>
  <w:style w:type="character" w:styleId="Rimandocommento">
    <w:name w:val="annotation reference"/>
    <w:basedOn w:val="Carpredefinitoparagrafo"/>
    <w:uiPriority w:val="99"/>
    <w:semiHidden/>
    <w:unhideWhenUsed/>
    <w:rsid w:val="00367B19"/>
    <w:rPr>
      <w:sz w:val="16"/>
      <w:szCs w:val="16"/>
    </w:rPr>
  </w:style>
  <w:style w:type="paragraph" w:styleId="Testocommento">
    <w:name w:val="annotation text"/>
    <w:basedOn w:val="Normale"/>
    <w:link w:val="TestocommentoCarattere"/>
    <w:uiPriority w:val="99"/>
    <w:semiHidden/>
    <w:unhideWhenUsed/>
    <w:rsid w:val="00367B1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67B19"/>
    <w:rPr>
      <w:sz w:val="20"/>
      <w:szCs w:val="20"/>
    </w:rPr>
  </w:style>
  <w:style w:type="paragraph" w:styleId="Soggettocommento">
    <w:name w:val="annotation subject"/>
    <w:basedOn w:val="Testocommento"/>
    <w:next w:val="Testocommento"/>
    <w:link w:val="SoggettocommentoCarattere"/>
    <w:uiPriority w:val="99"/>
    <w:semiHidden/>
    <w:unhideWhenUsed/>
    <w:rsid w:val="00367B19"/>
    <w:rPr>
      <w:b/>
      <w:bCs/>
    </w:rPr>
  </w:style>
  <w:style w:type="character" w:customStyle="1" w:styleId="SoggettocommentoCarattere">
    <w:name w:val="Soggetto commento Carattere"/>
    <w:basedOn w:val="TestocommentoCarattere"/>
    <w:link w:val="Soggettocommento"/>
    <w:uiPriority w:val="99"/>
    <w:semiHidden/>
    <w:rsid w:val="00367B19"/>
    <w:rPr>
      <w:b/>
      <w:bCs/>
      <w:sz w:val="20"/>
      <w:szCs w:val="20"/>
    </w:rPr>
  </w:style>
  <w:style w:type="paragraph" w:customStyle="1" w:styleId="Default">
    <w:name w:val="Default"/>
    <w:rsid w:val="002F5D0B"/>
    <w:pPr>
      <w:autoSpaceDE w:val="0"/>
      <w:autoSpaceDN w:val="0"/>
      <w:adjustRightInd w:val="0"/>
      <w:spacing w:after="0" w:line="240" w:lineRule="auto"/>
    </w:pPr>
    <w:rPr>
      <w:rFonts w:ascii="ITC Garamond LT Light" w:hAnsi="ITC Garamond LT Light" w:cs="ITC Garamond LT Light"/>
      <w:color w:val="000000"/>
      <w:sz w:val="24"/>
      <w:szCs w:val="24"/>
    </w:rPr>
  </w:style>
  <w:style w:type="paragraph" w:customStyle="1" w:styleId="Pa6">
    <w:name w:val="Pa6"/>
    <w:basedOn w:val="Default"/>
    <w:next w:val="Default"/>
    <w:uiPriority w:val="99"/>
    <w:rsid w:val="002F5D0B"/>
    <w:pPr>
      <w:spacing w:line="201" w:lineRule="atLeast"/>
    </w:pPr>
    <w:rPr>
      <w:rFonts w:cstheme="minorBidi"/>
      <w:color w:val="auto"/>
    </w:rPr>
  </w:style>
  <w:style w:type="character" w:customStyle="1" w:styleId="A2">
    <w:name w:val="A2"/>
    <w:uiPriority w:val="99"/>
    <w:rsid w:val="002F5D0B"/>
    <w:rPr>
      <w:rFonts w:cs="ITC Garamond LT Light"/>
      <w:color w:val="000000"/>
    </w:rPr>
  </w:style>
  <w:style w:type="paragraph" w:customStyle="1" w:styleId="Pa4">
    <w:name w:val="Pa4"/>
    <w:basedOn w:val="Default"/>
    <w:next w:val="Default"/>
    <w:uiPriority w:val="99"/>
    <w:rsid w:val="002F5D0B"/>
    <w:pPr>
      <w:spacing w:line="221" w:lineRule="atLeast"/>
    </w:pPr>
    <w:rPr>
      <w:rFonts w:cstheme="minorBidi"/>
      <w:color w:val="auto"/>
    </w:rPr>
  </w:style>
  <w:style w:type="paragraph" w:styleId="Intestazione">
    <w:name w:val="header"/>
    <w:basedOn w:val="Normale"/>
    <w:link w:val="IntestazioneCarattere"/>
    <w:uiPriority w:val="99"/>
    <w:unhideWhenUsed/>
    <w:rsid w:val="001D72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D72B6"/>
  </w:style>
  <w:style w:type="paragraph" w:styleId="Pidipagina">
    <w:name w:val="footer"/>
    <w:basedOn w:val="Normale"/>
    <w:link w:val="PidipaginaCarattere"/>
    <w:uiPriority w:val="99"/>
    <w:unhideWhenUsed/>
    <w:rsid w:val="001D72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D72B6"/>
  </w:style>
  <w:style w:type="paragraph" w:customStyle="1" w:styleId="Pa7">
    <w:name w:val="Pa7"/>
    <w:basedOn w:val="Default"/>
    <w:next w:val="Default"/>
    <w:uiPriority w:val="99"/>
    <w:rsid w:val="001D72B6"/>
    <w:pPr>
      <w:spacing w:line="241" w:lineRule="atLeast"/>
    </w:pPr>
    <w:rPr>
      <w:rFonts w:cstheme="minorBidi"/>
      <w:color w:val="auto"/>
    </w:rPr>
  </w:style>
  <w:style w:type="paragraph" w:styleId="Testonotaapidipagina">
    <w:name w:val="footnote text"/>
    <w:basedOn w:val="Normale"/>
    <w:link w:val="TestonotaapidipaginaCarattere"/>
    <w:uiPriority w:val="99"/>
    <w:semiHidden/>
    <w:unhideWhenUsed/>
    <w:rsid w:val="003C421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C4217"/>
    <w:rPr>
      <w:sz w:val="20"/>
      <w:szCs w:val="20"/>
    </w:rPr>
  </w:style>
  <w:style w:type="character" w:styleId="Rimandonotaapidipagina">
    <w:name w:val="footnote reference"/>
    <w:basedOn w:val="Carpredefinitoparagrafo"/>
    <w:uiPriority w:val="99"/>
    <w:semiHidden/>
    <w:unhideWhenUsed/>
    <w:rsid w:val="003C42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FCFC4-DC3B-4E04-8B4D-74481DB3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8</Pages>
  <Words>4552</Words>
  <Characters>25950</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30442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Manuguerra Antonio</cp:lastModifiedBy>
  <cp:revision>4</cp:revision>
  <dcterms:created xsi:type="dcterms:W3CDTF">2024-10-21T12:02:00Z</dcterms:created>
  <dcterms:modified xsi:type="dcterms:W3CDTF">2024-10-22T22:28:00Z</dcterms:modified>
</cp:coreProperties>
</file>